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23" w:rsidRPr="00BE034D" w:rsidRDefault="00291023" w:rsidP="0029102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Анализ и</w:t>
      </w:r>
      <w:r w:rsidRPr="00BE034D">
        <w:rPr>
          <w:rFonts w:ascii="Times New Roman" w:eastAsia="Calibri" w:hAnsi="Times New Roman" w:cs="Times New Roman"/>
          <w:b/>
          <w:sz w:val="24"/>
          <w:szCs w:val="24"/>
          <w:u w:val="single"/>
        </w:rPr>
        <w:t>тог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ов</w:t>
      </w:r>
      <w:r w:rsidRPr="00BE034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краевых диагностических работ </w:t>
      </w:r>
    </w:p>
    <w:p w:rsidR="00291023" w:rsidRPr="00BE034D" w:rsidRDefault="00291023" w:rsidP="0029102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34D">
        <w:rPr>
          <w:rFonts w:ascii="Times New Roman" w:eastAsia="Calibri" w:hAnsi="Times New Roman" w:cs="Times New Roman"/>
          <w:sz w:val="24"/>
          <w:szCs w:val="24"/>
          <w:u w:val="single"/>
        </w:rPr>
        <w:t>Цель анализа</w:t>
      </w:r>
      <w:r w:rsidRPr="00BE034D">
        <w:rPr>
          <w:rFonts w:ascii="Times New Roman" w:eastAsia="Calibri" w:hAnsi="Times New Roman" w:cs="Times New Roman"/>
          <w:sz w:val="24"/>
          <w:szCs w:val="24"/>
        </w:rPr>
        <w:t>: определить проблем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при проведении и оценивании КДР, повысить уровень объективности проведения и проверки </w:t>
      </w:r>
      <w:r w:rsidRPr="00BE0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диагностических процедур.</w:t>
      </w:r>
      <w:r w:rsidRPr="00BE034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Краевые диагностические работы (далее КДР) проводились в сроки, установленные нормативными документами  министерства образования Красноярского края. </w:t>
      </w:r>
      <w:r>
        <w:rPr>
          <w:rFonts w:ascii="Times New Roman" w:eastAsia="Calibri" w:hAnsi="Times New Roman" w:cs="Times New Roman"/>
          <w:sz w:val="24"/>
          <w:szCs w:val="24"/>
        </w:rPr>
        <w:t>В этом учебном году были проведены 4 краевые диагностические работы – две в 4 классе, в 7 и 8 классах.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С целью организованного проведения КДР в Богучанском районе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74620F">
        <w:rPr>
          <w:rFonts w:ascii="Times New Roman" w:eastAsia="Calibri" w:hAnsi="Times New Roman" w:cs="Times New Roman"/>
          <w:sz w:val="24"/>
          <w:szCs w:val="24"/>
        </w:rPr>
        <w:t>.11.202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г состоялось совещание </w:t>
      </w:r>
      <w:proofErr w:type="gramStart"/>
      <w:r w:rsidRPr="0074620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ответственными за проведение КДР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ОУ</w:t>
      </w:r>
      <w:r w:rsidRPr="0074620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совещании рассматривались вопросы объективного проведения процедуры, объективного оценивания, рассматривались ошибки, допущенные при проведении и оценивании КДР в прошлом учебном году.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0F">
        <w:rPr>
          <w:rFonts w:ascii="Times New Roman" w:eastAsia="Calibri" w:hAnsi="Times New Roman" w:cs="Times New Roman"/>
          <w:sz w:val="24"/>
          <w:szCs w:val="24"/>
        </w:rPr>
        <w:t>В этом году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как и в прошлом, 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управлением образования было принято решение 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выборочной 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перекрестной проверке КДР, поэтому  в каждой школе была создана комиссия для проверки работ учащихся других школ. КДР учащихся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некоторых </w:t>
      </w:r>
      <w:r w:rsidRPr="0074620F">
        <w:rPr>
          <w:rFonts w:ascii="Times New Roman" w:eastAsia="Calibri" w:hAnsi="Times New Roman" w:cs="Times New Roman"/>
          <w:sz w:val="24"/>
          <w:szCs w:val="24"/>
        </w:rPr>
        <w:t>проверялись двумя комиссиями – комиссией своей школы и комиссией другой школы, в случае расхождения в  выставленных баллах,  вопросы проверялись третьим экспертом.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Pr="0074620F" w:rsidRDefault="00291023" w:rsidP="0029102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20F">
        <w:rPr>
          <w:rFonts w:ascii="Times New Roman" w:eastAsia="Calibri" w:hAnsi="Times New Roman" w:cs="Times New Roman"/>
          <w:b/>
          <w:sz w:val="24"/>
          <w:szCs w:val="24"/>
        </w:rPr>
        <w:t>КДР 6 по читательской грамотности</w:t>
      </w:r>
    </w:p>
    <w:p w:rsidR="00291023" w:rsidRPr="0074620F" w:rsidRDefault="00291023" w:rsidP="0029102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4620F">
        <w:rPr>
          <w:rFonts w:ascii="Times New Roman" w:hAnsi="Times New Roman" w:cs="Times New Roman"/>
        </w:rPr>
        <w:t>В диагностической работе по читательской грамотности в Богучанском районе приняли участие 4</w:t>
      </w:r>
      <w:r>
        <w:rPr>
          <w:rFonts w:ascii="Times New Roman" w:hAnsi="Times New Roman" w:cs="Times New Roman"/>
        </w:rPr>
        <w:t>56</w:t>
      </w:r>
      <w:r w:rsidRPr="0074620F">
        <w:rPr>
          <w:rFonts w:ascii="Times New Roman" w:hAnsi="Times New Roman" w:cs="Times New Roman"/>
        </w:rPr>
        <w:t xml:space="preserve"> обучающихся из 23 школ района.</w:t>
      </w:r>
      <w:r>
        <w:rPr>
          <w:rFonts w:ascii="Times New Roman" w:hAnsi="Times New Roman" w:cs="Times New Roman"/>
        </w:rPr>
        <w:t xml:space="preserve"> КДР 6 проходила 17 ноября 2022г.</w:t>
      </w:r>
    </w:p>
    <w:p w:rsidR="00291023" w:rsidRDefault="00291023" w:rsidP="00291023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291023" w:rsidRPr="0074620F" w:rsidRDefault="00291023" w:rsidP="0029102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4620F">
        <w:rPr>
          <w:rFonts w:ascii="Times New Roman" w:hAnsi="Times New Roman" w:cs="Times New Roman"/>
        </w:rPr>
        <w:t>Основные результаты выполнения диагностической работы по читательской грамотности представлены в диаграмме № 1</w:t>
      </w:r>
    </w:p>
    <w:p w:rsidR="00291023" w:rsidRPr="0074620F" w:rsidRDefault="00291023" w:rsidP="00291023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291023" w:rsidRPr="007A5935" w:rsidRDefault="00291023" w:rsidP="00291023">
      <w:pPr>
        <w:pStyle w:val="Default"/>
        <w:ind w:firstLine="709"/>
        <w:jc w:val="right"/>
        <w:rPr>
          <w:rFonts w:ascii="Times New Roman" w:hAnsi="Times New Roman" w:cs="Times New Roman"/>
          <w:u w:val="single"/>
        </w:rPr>
      </w:pPr>
      <w:r w:rsidRPr="007A5935">
        <w:rPr>
          <w:rFonts w:ascii="Times New Roman" w:hAnsi="Times New Roman" w:cs="Times New Roman"/>
          <w:u w:val="single"/>
        </w:rPr>
        <w:t>Диаграмма № 1</w:t>
      </w:r>
    </w:p>
    <w:p w:rsidR="00291023" w:rsidRPr="007A5935" w:rsidRDefault="00291023" w:rsidP="00291023">
      <w:pPr>
        <w:pStyle w:val="Default"/>
        <w:ind w:firstLine="709"/>
        <w:jc w:val="right"/>
        <w:rPr>
          <w:rFonts w:ascii="Times New Roman" w:hAnsi="Times New Roman" w:cs="Times New Roman"/>
          <w:u w:val="single"/>
        </w:rPr>
      </w:pPr>
      <w:r w:rsidRPr="007A5935">
        <w:rPr>
          <w:rFonts w:ascii="Times New Roman" w:hAnsi="Times New Roman" w:cs="Times New Roman"/>
          <w:u w:val="single"/>
        </w:rPr>
        <w:t xml:space="preserve">  «</w:t>
      </w:r>
      <w:r>
        <w:rPr>
          <w:rFonts w:ascii="Times New Roman" w:hAnsi="Times New Roman" w:cs="Times New Roman"/>
          <w:u w:val="single"/>
        </w:rPr>
        <w:t>Баллы за работу по 100 балльной шкале»</w:t>
      </w:r>
    </w:p>
    <w:p w:rsidR="00291023" w:rsidRPr="0074620F" w:rsidRDefault="00291023" w:rsidP="00291023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291023" w:rsidRPr="0074620F" w:rsidRDefault="00291023" w:rsidP="002910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8C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42690" cy="3647661"/>
            <wp:effectExtent l="19050" t="0" r="2471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данной диаграммы видно, что  общие результаты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ниже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краевых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>3,5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. Самый высокий процент выполнения в  МКОУ </w:t>
      </w:r>
      <w:r>
        <w:rPr>
          <w:rFonts w:ascii="Times New Roman" w:eastAsia="Calibri" w:hAnsi="Times New Roman" w:cs="Times New Roman"/>
          <w:sz w:val="24"/>
          <w:szCs w:val="24"/>
        </w:rPr>
        <w:t>Такучетской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школе, самый низкий –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6б МКОУ Ангарской школы, </w:t>
      </w:r>
      <w:r w:rsidRPr="0074620F">
        <w:rPr>
          <w:rFonts w:ascii="Times New Roman" w:eastAsia="Calibri" w:hAnsi="Times New Roman" w:cs="Times New Roman"/>
          <w:sz w:val="24"/>
          <w:szCs w:val="24"/>
        </w:rPr>
        <w:t>МКОУ Хребтовской школе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6а МКОУ Чуноярской школы</w:t>
      </w:r>
      <w:r w:rsidRPr="007462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0F">
        <w:rPr>
          <w:rFonts w:ascii="Times New Roman" w:eastAsia="Calibri" w:hAnsi="Times New Roman" w:cs="Times New Roman"/>
          <w:sz w:val="24"/>
          <w:szCs w:val="24"/>
        </w:rPr>
        <w:t>Результаты КДР 6 с учетом индекса образовательных условий (далее – ИОУ) представлены в диаграмме № 2.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Default="00291023" w:rsidP="00291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1023" w:rsidRPr="007A5935" w:rsidRDefault="00291023" w:rsidP="00291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5935">
        <w:rPr>
          <w:rFonts w:ascii="Times New Roman" w:eastAsia="Calibri" w:hAnsi="Times New Roman" w:cs="Times New Roman"/>
          <w:sz w:val="24"/>
          <w:szCs w:val="24"/>
          <w:u w:val="single"/>
        </w:rPr>
        <w:t>Диаграмма № 2</w:t>
      </w:r>
    </w:p>
    <w:p w:rsidR="00291023" w:rsidRPr="007A5935" w:rsidRDefault="00291023" w:rsidP="00291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5935">
        <w:rPr>
          <w:rFonts w:ascii="Times New Roman" w:eastAsia="Calibri" w:hAnsi="Times New Roman" w:cs="Times New Roman"/>
          <w:sz w:val="24"/>
          <w:szCs w:val="24"/>
          <w:u w:val="single"/>
        </w:rPr>
        <w:t>Результаты КДР 6 с учетом ИОУ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Default="00F751AE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5.75pt;margin-top:139.8pt;width:56.15pt;height:17.65pt;z-index:251653120;mso-width-relative:margin;mso-height-relative:margin">
            <v:textbox>
              <w:txbxContent>
                <w:p w:rsidR="00291023" w:rsidRPr="00F94AE1" w:rsidRDefault="00291023" w:rsidP="00291023">
                  <w:pPr>
                    <w:rPr>
                      <w:sz w:val="16"/>
                      <w:szCs w:val="16"/>
                    </w:rPr>
                  </w:pPr>
                  <w:r w:rsidRPr="00F94AE1">
                    <w:rPr>
                      <w:sz w:val="16"/>
                      <w:szCs w:val="16"/>
                    </w:rPr>
                    <w:t xml:space="preserve">МКОУ </w:t>
                  </w:r>
                  <w:r>
                    <w:rPr>
                      <w:sz w:val="16"/>
                      <w:szCs w:val="16"/>
                    </w:rPr>
                    <w:t>БШ 1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29.4pt;margin-top:168.25pt;width:98.3pt;height:17.65pt;z-index:251654144;mso-width-relative:margin;mso-height-relative:margin">
            <v:textbox>
              <w:txbxContent>
                <w:p w:rsidR="00291023" w:rsidRPr="00F94AE1" w:rsidRDefault="00291023" w:rsidP="00291023">
                  <w:pPr>
                    <w:rPr>
                      <w:sz w:val="16"/>
                      <w:szCs w:val="16"/>
                    </w:rPr>
                  </w:pPr>
                  <w:r w:rsidRPr="00F94AE1">
                    <w:rPr>
                      <w:sz w:val="16"/>
                      <w:szCs w:val="16"/>
                    </w:rPr>
                    <w:t xml:space="preserve">МКОУ </w:t>
                  </w:r>
                  <w:r>
                    <w:rPr>
                      <w:sz w:val="16"/>
                      <w:szCs w:val="16"/>
                    </w:rPr>
                    <w:t>Манзенская школа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215.7pt;margin-top:278.8pt;width:105.4pt;height:17.65pt;z-index:251655168;mso-width-relative:margin;mso-height-relative:margin">
            <v:textbox>
              <w:txbxContent>
                <w:p w:rsidR="00291023" w:rsidRPr="00F94AE1" w:rsidRDefault="00291023" w:rsidP="00291023">
                  <w:pPr>
                    <w:rPr>
                      <w:sz w:val="16"/>
                      <w:szCs w:val="16"/>
                    </w:rPr>
                  </w:pPr>
                  <w:r w:rsidRPr="00F94AE1">
                    <w:rPr>
                      <w:sz w:val="16"/>
                      <w:szCs w:val="16"/>
                    </w:rPr>
                    <w:t xml:space="preserve">МКОУ </w:t>
                  </w:r>
                  <w:r>
                    <w:rPr>
                      <w:sz w:val="16"/>
                      <w:szCs w:val="16"/>
                    </w:rPr>
                    <w:t>Хребтовская школа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236.6pt;margin-top:81.15pt;width:99.4pt;height:17.65pt;z-index:251656192;mso-width-relative:margin;mso-height-relative:margin">
            <v:textbox>
              <w:txbxContent>
                <w:p w:rsidR="00291023" w:rsidRPr="00F94AE1" w:rsidRDefault="00291023" w:rsidP="00291023">
                  <w:pPr>
                    <w:rPr>
                      <w:sz w:val="16"/>
                      <w:szCs w:val="16"/>
                    </w:rPr>
                  </w:pPr>
                  <w:r w:rsidRPr="00F94AE1">
                    <w:rPr>
                      <w:sz w:val="16"/>
                      <w:szCs w:val="16"/>
                    </w:rPr>
                    <w:t>МКОУ Такучетская школа</w:t>
                  </w:r>
                </w:p>
              </w:txbxContent>
            </v:textbox>
          </v:shape>
        </w:pict>
      </w:r>
      <w:r w:rsidR="0029102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4572000"/>
            <wp:effectExtent l="19050" t="0" r="0" b="0"/>
            <wp:docPr id="22" name="Рисунок 1" descr="D:\Users\Userruo\Desktop\КДР 2022-23\КДР 6 ЧГ\Облака\57_Богучанский район_МО\57_Богучанский район\57_Богучанский район_КДР6_2022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ruo\Desktop\КДР 2022-23\КДР 6 ЧГ\Облака\57_Богучанский район_МО\57_Богучанский район\57_Богучанский район_КДР6_2022-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Из данной диаграммы </w:t>
      </w:r>
      <w:r>
        <w:rPr>
          <w:rFonts w:ascii="Times New Roman" w:eastAsia="Calibri" w:hAnsi="Times New Roman" w:cs="Times New Roman"/>
          <w:sz w:val="24"/>
          <w:szCs w:val="24"/>
        </w:rPr>
        <w:t>можно сделать вывод о том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>
        <w:rPr>
          <w:rFonts w:ascii="Times New Roman" w:eastAsia="Calibri" w:hAnsi="Times New Roman" w:cs="Times New Roman"/>
          <w:sz w:val="24"/>
          <w:szCs w:val="24"/>
        </w:rPr>
        <w:t>несколько школы попали на линию ожидаемых результатов: МКОУ Манзенская  школа,  МКОУ Богучанская школа № 1 им. К.И.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Безруких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МКОУ Говорковская школа.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езультаты  </w:t>
      </w:r>
      <w:r>
        <w:rPr>
          <w:rFonts w:ascii="Times New Roman" w:eastAsia="Calibri" w:hAnsi="Times New Roman" w:cs="Times New Roman"/>
          <w:sz w:val="24"/>
          <w:szCs w:val="24"/>
        </w:rPr>
        <w:t>трех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школ оказались </w:t>
      </w:r>
      <w:r>
        <w:rPr>
          <w:rFonts w:ascii="Times New Roman" w:eastAsia="Calibri" w:hAnsi="Times New Roman" w:cs="Times New Roman"/>
          <w:sz w:val="24"/>
          <w:szCs w:val="24"/>
        </w:rPr>
        <w:t>чуть ниже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линии ожидаемых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4620F">
        <w:rPr>
          <w:rFonts w:ascii="Times New Roman" w:eastAsia="Calibri" w:hAnsi="Times New Roman" w:cs="Times New Roman"/>
          <w:sz w:val="24"/>
          <w:szCs w:val="24"/>
        </w:rPr>
        <w:t>МКОУ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Октябрьская школа, МКОУ Таежнинская школа № 7, МКОУ Богучанская школа № 2.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Второй год подряд с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самым низким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результатом, находящимся ниже линии ожидаемых результатов  оказывается 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МКОУ Хребтовская школа.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Результат выше линии  ожидаемых результатов  получила МКОУ Такучетская школа. 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Pr="006028FC" w:rsidRDefault="00291023" w:rsidP="0029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FC">
        <w:rPr>
          <w:rFonts w:ascii="Times New Roman" w:eastAsia="Calibri" w:hAnsi="Times New Roman" w:cs="Times New Roman"/>
          <w:sz w:val="24"/>
          <w:szCs w:val="24"/>
        </w:rPr>
        <w:t xml:space="preserve">С целью снижения получения необъективной оценки результатов обучающихся при проведении КДР 6 была проведена перекрестная проверка работ в  7 школах района:  </w:t>
      </w:r>
      <w:r w:rsidRPr="006028FC">
        <w:rPr>
          <w:rFonts w:ascii="Times New Roman" w:hAnsi="Times New Roman" w:cs="Times New Roman"/>
          <w:sz w:val="24"/>
          <w:szCs w:val="24"/>
        </w:rPr>
        <w:t xml:space="preserve">МКОУ  Богучанская школа № 1 им. К.И. </w:t>
      </w:r>
      <w:proofErr w:type="gramStart"/>
      <w:r w:rsidRPr="006028FC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</w:p>
    <w:p w:rsidR="00291023" w:rsidRPr="006028FC" w:rsidRDefault="00291023" w:rsidP="002910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FC">
        <w:rPr>
          <w:rFonts w:ascii="Times New Roman" w:hAnsi="Times New Roman" w:cs="Times New Roman"/>
          <w:sz w:val="24"/>
          <w:szCs w:val="24"/>
        </w:rPr>
        <w:t>МКОУ Богучанская школа № 3</w:t>
      </w:r>
    </w:p>
    <w:p w:rsidR="00291023" w:rsidRPr="006028FC" w:rsidRDefault="00291023" w:rsidP="002910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FC">
        <w:rPr>
          <w:rFonts w:ascii="Times New Roman" w:hAnsi="Times New Roman" w:cs="Times New Roman"/>
          <w:sz w:val="24"/>
          <w:szCs w:val="24"/>
        </w:rPr>
        <w:t>МКОУ Таежнинская школа № 20</w:t>
      </w:r>
    </w:p>
    <w:p w:rsidR="00291023" w:rsidRPr="006028FC" w:rsidRDefault="00291023" w:rsidP="002910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FC">
        <w:rPr>
          <w:rFonts w:ascii="Times New Roman" w:hAnsi="Times New Roman" w:cs="Times New Roman"/>
          <w:sz w:val="24"/>
          <w:szCs w:val="24"/>
        </w:rPr>
        <w:lastRenderedPageBreak/>
        <w:t>МКОУ Октябрьская школа № 9</w:t>
      </w:r>
    </w:p>
    <w:p w:rsidR="00291023" w:rsidRPr="006028FC" w:rsidRDefault="00291023" w:rsidP="002910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FC">
        <w:rPr>
          <w:rFonts w:ascii="Times New Roman" w:hAnsi="Times New Roman" w:cs="Times New Roman"/>
          <w:sz w:val="24"/>
          <w:szCs w:val="24"/>
        </w:rPr>
        <w:t>МКОУ Такучетская школа</w:t>
      </w:r>
    </w:p>
    <w:p w:rsidR="00291023" w:rsidRPr="006028FC" w:rsidRDefault="00291023" w:rsidP="002910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FC">
        <w:rPr>
          <w:rFonts w:ascii="Times New Roman" w:hAnsi="Times New Roman" w:cs="Times New Roman"/>
          <w:sz w:val="24"/>
          <w:szCs w:val="24"/>
        </w:rPr>
        <w:t>МКОУ «Чуноярская средняя школа № 13»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FC">
        <w:rPr>
          <w:rFonts w:ascii="Times New Roman" w:hAnsi="Times New Roman" w:cs="Times New Roman"/>
          <w:sz w:val="24"/>
          <w:szCs w:val="24"/>
        </w:rPr>
        <w:t>МКОУ Манзенская школа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023" w:rsidRPr="006028FC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8FC">
        <w:rPr>
          <w:rFonts w:ascii="Times New Roman" w:eastAsia="Calibri" w:hAnsi="Times New Roman" w:cs="Times New Roman"/>
          <w:sz w:val="24"/>
          <w:szCs w:val="24"/>
        </w:rPr>
        <w:t>Перекрестная проверка показала следующее  количество несовпадений оценки экспертов из своей школы и экспертов из назначенной для проверки школы – диаграмма № 3.</w:t>
      </w:r>
    </w:p>
    <w:p w:rsidR="00291023" w:rsidRDefault="00291023" w:rsidP="00291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1023" w:rsidRDefault="00291023" w:rsidP="00291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1023" w:rsidRPr="00FD0B06" w:rsidRDefault="00291023" w:rsidP="00291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0B06">
        <w:rPr>
          <w:rFonts w:ascii="Times New Roman" w:eastAsia="Calibri" w:hAnsi="Times New Roman" w:cs="Times New Roman"/>
          <w:sz w:val="24"/>
          <w:szCs w:val="24"/>
          <w:u w:val="single"/>
        </w:rPr>
        <w:t>Диаграмма № 3</w:t>
      </w:r>
    </w:p>
    <w:p w:rsidR="00291023" w:rsidRPr="00FD0B06" w:rsidRDefault="00291023" w:rsidP="00291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0B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Количество несовпадений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по школам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91023" w:rsidRDefault="00291023" w:rsidP="0029102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D40A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9482" cy="3607904"/>
            <wp:effectExtent l="19050" t="0" r="17918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 диаграммы № 3 можно сделать вывод о том, что в БСШ № 3, Такучетской и Манзенской школах большое расхождение между выставленными баллами учителей из своей школы и учителей из муниципальной комиссии. Это говорит о необъективной проверке в этих школах. 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Вышеназванным школам рекомендовано: при дальнейшей проверке      внимательно изучать и следовать  инструкциям 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проверяющих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Осуществлять проверку в соответствии с рекомендациями. 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Самое маленькое количество расхождений наблюдается в МКОУ ТШ № 20. Этой школе рекомендовано обеспечить сохранение объективности оценивания результатов при обеспечении объективности проведения процедуры.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Pr="003B3000" w:rsidRDefault="00291023" w:rsidP="00291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300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Диаграмма № 4 </w:t>
      </w:r>
    </w:p>
    <w:p w:rsidR="00291023" w:rsidRPr="003B3000" w:rsidRDefault="00291023" w:rsidP="002910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3000">
        <w:rPr>
          <w:rFonts w:ascii="Times New Roman" w:eastAsia="Calibri" w:hAnsi="Times New Roman" w:cs="Times New Roman"/>
          <w:sz w:val="24"/>
          <w:szCs w:val="24"/>
          <w:u w:val="single"/>
        </w:rPr>
        <w:t>Количество несовпадений в выставленных баллах по предмет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ам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Default="00291023" w:rsidP="0029102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40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76681" cy="2743200"/>
            <wp:effectExtent l="19050" t="0" r="24019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91023" w:rsidRDefault="00291023" w:rsidP="00291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6BF">
        <w:rPr>
          <w:rFonts w:ascii="Times New Roman" w:eastAsia="Calibri" w:hAnsi="Times New Roman" w:cs="Times New Roman"/>
          <w:sz w:val="24"/>
          <w:szCs w:val="24"/>
        </w:rPr>
        <w:t xml:space="preserve">Из диаграммы № 4 видно, что самое большое количество несовпадений – 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предмета </w:t>
      </w:r>
      <w:r w:rsidRPr="000F66B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История</w:t>
      </w:r>
      <w:r w:rsidRPr="000F66BF">
        <w:rPr>
          <w:rFonts w:ascii="Times New Roman" w:eastAsia="Calibri" w:hAnsi="Times New Roman" w:cs="Times New Roman"/>
          <w:sz w:val="24"/>
          <w:szCs w:val="24"/>
        </w:rPr>
        <w:t>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023" w:rsidRPr="00B76659" w:rsidRDefault="00291023" w:rsidP="00291023">
      <w:pPr>
        <w:pStyle w:val="a3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контроле  качества проверки КДР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муниципальным координатором были проверены все протоколы и выборочно работы обучающихся с выставленными экспертами баллами.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Выявлены следующие ошибки:</w:t>
      </w:r>
    </w:p>
    <w:p w:rsidR="00291023" w:rsidRPr="00EA4B76" w:rsidRDefault="00291023" w:rsidP="002910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B76">
        <w:rPr>
          <w:rFonts w:ascii="Times New Roman" w:eastAsia="Calibri" w:hAnsi="Times New Roman" w:cs="Times New Roman"/>
          <w:sz w:val="24"/>
          <w:szCs w:val="24"/>
        </w:rPr>
        <w:t>Выставление 2 баллов там, где оценивается только в 1 балл</w:t>
      </w:r>
    </w:p>
    <w:p w:rsidR="00291023" w:rsidRPr="00EA4B76" w:rsidRDefault="00291023" w:rsidP="002910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B76">
        <w:rPr>
          <w:rFonts w:ascii="Times New Roman" w:eastAsia="Calibri" w:hAnsi="Times New Roman" w:cs="Times New Roman"/>
          <w:sz w:val="24"/>
          <w:szCs w:val="24"/>
        </w:rPr>
        <w:t>Расхождение в оценивании в два балла</w:t>
      </w:r>
    </w:p>
    <w:p w:rsidR="00291023" w:rsidRPr="00EA4B76" w:rsidRDefault="00291023" w:rsidP="002910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B76">
        <w:rPr>
          <w:rFonts w:ascii="Times New Roman" w:eastAsia="Calibri" w:hAnsi="Times New Roman" w:cs="Times New Roman"/>
          <w:sz w:val="24"/>
          <w:szCs w:val="24"/>
        </w:rPr>
        <w:t>Большое количество ошибок при проверке заданий закрытого типа</w:t>
      </w:r>
    </w:p>
    <w:p w:rsidR="00291023" w:rsidRPr="00EA4B76" w:rsidRDefault="00291023" w:rsidP="002910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B76">
        <w:rPr>
          <w:rFonts w:ascii="Times New Roman" w:eastAsia="Calibri" w:hAnsi="Times New Roman" w:cs="Times New Roman"/>
          <w:sz w:val="24"/>
          <w:szCs w:val="24"/>
        </w:rPr>
        <w:t>Игнорирование протоколов муниципальной проверки</w:t>
      </w:r>
    </w:p>
    <w:p w:rsidR="00291023" w:rsidRDefault="00291023" w:rsidP="0029102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Default="00291023" w:rsidP="0029102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Общий вывод:  эксперты необъективны при </w:t>
      </w:r>
      <w:r w:rsidRPr="00EA4B76">
        <w:rPr>
          <w:rFonts w:ascii="Times New Roman" w:eastAsia="Calibri" w:hAnsi="Times New Roman" w:cs="Times New Roman"/>
          <w:sz w:val="24"/>
          <w:szCs w:val="24"/>
        </w:rPr>
        <w:t xml:space="preserve"> проверк</w:t>
      </w:r>
      <w:r>
        <w:rPr>
          <w:rFonts w:ascii="Times New Roman" w:eastAsia="Calibri" w:hAnsi="Times New Roman" w:cs="Times New Roman"/>
          <w:sz w:val="24"/>
          <w:szCs w:val="24"/>
        </w:rPr>
        <w:t>е работ.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Pr="0074620F">
        <w:rPr>
          <w:rFonts w:ascii="Times New Roman" w:eastAsia="Calibri" w:hAnsi="Times New Roman" w:cs="Times New Roman"/>
          <w:bCs/>
          <w:sz w:val="24"/>
          <w:szCs w:val="24"/>
        </w:rPr>
        <w:t>повышения объективности получения результатов независимых процедур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, а также для  исправления ситуации с некачественной проверкой,  </w:t>
      </w:r>
      <w:r>
        <w:rPr>
          <w:rFonts w:ascii="Times New Roman" w:eastAsia="Calibri" w:hAnsi="Times New Roman" w:cs="Times New Roman"/>
          <w:bCs/>
          <w:sz w:val="24"/>
          <w:szCs w:val="24"/>
        </w:rPr>
        <w:t>27</w:t>
      </w:r>
      <w:r w:rsidRPr="0074620F">
        <w:rPr>
          <w:rFonts w:ascii="Times New Roman" w:eastAsia="Calibri" w:hAnsi="Times New Roman" w:cs="Times New Roman"/>
          <w:bCs/>
          <w:sz w:val="24"/>
          <w:szCs w:val="24"/>
        </w:rPr>
        <w:t>.12.202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74620F">
        <w:rPr>
          <w:rFonts w:ascii="Times New Roman" w:eastAsia="Calibri" w:hAnsi="Times New Roman" w:cs="Times New Roman"/>
          <w:bCs/>
          <w:sz w:val="24"/>
          <w:szCs w:val="24"/>
        </w:rPr>
        <w:t xml:space="preserve"> года </w:t>
      </w:r>
      <w:r w:rsidRPr="007462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провело совещание с </w:t>
      </w:r>
      <w:proofErr w:type="gramStart"/>
      <w:r w:rsidRPr="0074620F">
        <w:rPr>
          <w:rFonts w:ascii="Times New Roman" w:eastAsia="Calibri" w:hAnsi="Times New Roman" w:cs="Times New Roman"/>
          <w:sz w:val="24"/>
          <w:szCs w:val="24"/>
        </w:rPr>
        <w:t>ответственными</w:t>
      </w:r>
      <w:proofErr w:type="gramEnd"/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 за проведение КДР в школах (протокол № </w:t>
      </w:r>
      <w:r>
        <w:rPr>
          <w:rFonts w:ascii="Times New Roman" w:eastAsia="Calibri" w:hAnsi="Times New Roman" w:cs="Times New Roman"/>
          <w:sz w:val="24"/>
          <w:szCs w:val="24"/>
        </w:rPr>
        <w:t>2 от 27</w:t>
      </w:r>
      <w:r w:rsidRPr="0074620F">
        <w:rPr>
          <w:rFonts w:ascii="Times New Roman" w:eastAsia="Calibri" w:hAnsi="Times New Roman" w:cs="Times New Roman"/>
          <w:sz w:val="24"/>
          <w:szCs w:val="24"/>
        </w:rPr>
        <w:t>.12.202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4620F">
        <w:rPr>
          <w:rFonts w:ascii="Times New Roman" w:eastAsia="Calibri" w:hAnsi="Times New Roman" w:cs="Times New Roman"/>
          <w:sz w:val="24"/>
          <w:szCs w:val="24"/>
        </w:rPr>
        <w:t xml:space="preserve">г). </w:t>
      </w:r>
      <w:r>
        <w:rPr>
          <w:rFonts w:ascii="Times New Roman" w:eastAsia="Calibri" w:hAnsi="Times New Roman" w:cs="Times New Roman"/>
          <w:sz w:val="24"/>
          <w:szCs w:val="24"/>
        </w:rPr>
        <w:t>На совещании были даны адресные рекомендации школам.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 всех школах был сделан анализ полученных результатов КДР 6.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023" w:rsidRDefault="00291023" w:rsidP="0029102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023" w:rsidRPr="0074620F" w:rsidRDefault="00291023" w:rsidP="0029102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20F">
        <w:rPr>
          <w:rFonts w:ascii="Times New Roman" w:eastAsia="Calibri" w:hAnsi="Times New Roman" w:cs="Times New Roman"/>
          <w:b/>
          <w:sz w:val="24"/>
          <w:szCs w:val="24"/>
        </w:rPr>
        <w:t>КДР 8 по естественнонаучной  грамотности</w:t>
      </w:r>
    </w:p>
    <w:p w:rsidR="00291023" w:rsidRPr="0074620F" w:rsidRDefault="00291023" w:rsidP="00291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 диагностической работе по естественнонаучной грамотности для 8-х классов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422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из 23 школ  Богучанского района. Работа проводилась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января 2023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291023" w:rsidRDefault="00291023" w:rsidP="0029102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4620F">
        <w:rPr>
          <w:rFonts w:ascii="Times New Roman" w:hAnsi="Times New Roman" w:cs="Times New Roman"/>
          <w:sz w:val="24"/>
          <w:szCs w:val="24"/>
        </w:rPr>
        <w:t>По результатам выполнения КДР8 выделено три уровня достижений: повышенный, базовый и ниже базового.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результаты </w:t>
      </w:r>
      <w:proofErr w:type="gramStart"/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муниципальному образованию приведены в сопоставлении со средними данными по региону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Таблицах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и № 2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91023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023" w:rsidRPr="003B3000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Таблица № 1</w:t>
      </w:r>
    </w:p>
    <w:p w:rsidR="00291023" w:rsidRPr="003B3000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Уровни достижений ЕНГ  в сравнении </w:t>
      </w:r>
    </w:p>
    <w:p w:rsidR="00291023" w:rsidRPr="0074620F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4"/>
        <w:gridCol w:w="2126"/>
        <w:gridCol w:w="1843"/>
        <w:gridCol w:w="2551"/>
      </w:tblGrid>
      <w:tr w:rsidR="00291023" w:rsidRPr="00C077E4" w:rsidTr="00897789">
        <w:trPr>
          <w:trHeight w:val="660"/>
        </w:trPr>
        <w:tc>
          <w:tcPr>
            <w:tcW w:w="2704" w:type="dxa"/>
            <w:vMerge w:val="restart"/>
            <w:shd w:val="clear" w:color="000000" w:fill="39639D"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0" w:type="dxa"/>
            <w:gridSpan w:val="3"/>
            <w:shd w:val="clear" w:color="000000" w:fill="39639D"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Уровни достижений по </w:t>
            </w:r>
            <w:proofErr w:type="spellStart"/>
            <w:proofErr w:type="gramStart"/>
            <w:r w:rsidRPr="00C077E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C077E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грамотности (% учащихся, результаты которых соответствуют данному уровню достижений)</w:t>
            </w:r>
          </w:p>
        </w:tc>
      </w:tr>
      <w:tr w:rsidR="00291023" w:rsidRPr="00C077E4" w:rsidTr="00897789">
        <w:trPr>
          <w:trHeight w:val="345"/>
        </w:trPr>
        <w:tc>
          <w:tcPr>
            <w:tcW w:w="2704" w:type="dxa"/>
            <w:vMerge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39639D"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1843" w:type="dxa"/>
            <w:shd w:val="clear" w:color="000000" w:fill="39639D"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51" w:type="dxa"/>
            <w:shd w:val="clear" w:color="000000" w:fill="39639D"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Повышенный</w:t>
            </w:r>
          </w:p>
        </w:tc>
      </w:tr>
      <w:tr w:rsidR="00291023" w:rsidRPr="00C077E4" w:rsidTr="00897789">
        <w:trPr>
          <w:trHeight w:val="525"/>
        </w:trPr>
        <w:tc>
          <w:tcPr>
            <w:tcW w:w="2704" w:type="dxa"/>
            <w:shd w:val="clear" w:color="000000" w:fill="FFFFFF"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 район</w:t>
            </w:r>
            <w:proofErr w:type="gramStart"/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D44"/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37,20%</w:t>
            </w:r>
            <w:bookmarkEnd w:id="0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E44"/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49,29%</w:t>
            </w:r>
            <w:bookmarkEnd w:id="1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F44"/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13,51%</w:t>
            </w:r>
            <w:bookmarkEnd w:id="2"/>
          </w:p>
        </w:tc>
      </w:tr>
      <w:tr w:rsidR="00291023" w:rsidRPr="00C077E4" w:rsidTr="00897789">
        <w:trPr>
          <w:trHeight w:val="405"/>
        </w:trPr>
        <w:tc>
          <w:tcPr>
            <w:tcW w:w="2704" w:type="dxa"/>
            <w:shd w:val="clear" w:color="000000" w:fill="FFFFFF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  <w:proofErr w:type="gramStart"/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38,03%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50,66%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291023" w:rsidRPr="00C077E4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11,31%</w:t>
            </w:r>
          </w:p>
        </w:tc>
      </w:tr>
    </w:tbl>
    <w:p w:rsidR="00291023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91023" w:rsidRPr="003B3000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Таблица № 2</w:t>
      </w:r>
    </w:p>
    <w:p w:rsidR="00291023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Уровни достижений МГ  в сравнении </w:t>
      </w:r>
    </w:p>
    <w:p w:rsidR="00291023" w:rsidRPr="003B3000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62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2399"/>
        <w:gridCol w:w="2126"/>
        <w:gridCol w:w="3375"/>
      </w:tblGrid>
      <w:tr w:rsidR="00291023" w:rsidRPr="00BA2441" w:rsidTr="00897789">
        <w:trPr>
          <w:trHeight w:val="637"/>
        </w:trPr>
        <w:tc>
          <w:tcPr>
            <w:tcW w:w="1722" w:type="dxa"/>
            <w:vMerge w:val="restart"/>
            <w:shd w:val="clear" w:color="000000" w:fill="39639D"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0" w:type="dxa"/>
            <w:gridSpan w:val="3"/>
            <w:shd w:val="clear" w:color="000000" w:fill="39639D"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Уровни достижений по </w:t>
            </w:r>
            <w:proofErr w:type="gramStart"/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математической</w:t>
            </w:r>
            <w:proofErr w:type="gramEnd"/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грамостности</w:t>
            </w:r>
            <w:proofErr w:type="spellEnd"/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(% учащихся, результаты которых соответствуют данному уровню достижений)</w:t>
            </w:r>
          </w:p>
        </w:tc>
      </w:tr>
      <w:tr w:rsidR="00291023" w:rsidRPr="00BA2441" w:rsidTr="00897789">
        <w:trPr>
          <w:trHeight w:val="350"/>
        </w:trPr>
        <w:tc>
          <w:tcPr>
            <w:tcW w:w="1722" w:type="dxa"/>
            <w:vMerge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shd w:val="clear" w:color="000000" w:fill="39639D"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2126" w:type="dxa"/>
            <w:shd w:val="clear" w:color="000000" w:fill="39639D"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3375" w:type="dxa"/>
            <w:shd w:val="clear" w:color="000000" w:fill="39639D"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Повышенный</w:t>
            </w:r>
          </w:p>
        </w:tc>
      </w:tr>
      <w:tr w:rsidR="00291023" w:rsidRPr="00BA2441" w:rsidTr="00897789">
        <w:trPr>
          <w:trHeight w:val="573"/>
        </w:trPr>
        <w:tc>
          <w:tcPr>
            <w:tcW w:w="1722" w:type="dxa"/>
            <w:shd w:val="clear" w:color="000000" w:fill="FFFFFF"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 район</w:t>
            </w:r>
            <w:proofErr w:type="gramStart"/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399" w:type="dxa"/>
            <w:shd w:val="clear" w:color="000000" w:fill="FFFFFF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D67"/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46,92%</w:t>
            </w:r>
            <w:bookmarkEnd w:id="3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E67"/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35,07%</w:t>
            </w:r>
            <w:bookmarkEnd w:id="4"/>
          </w:p>
        </w:tc>
        <w:tc>
          <w:tcPr>
            <w:tcW w:w="3375" w:type="dxa"/>
            <w:shd w:val="clear" w:color="000000" w:fill="FFFFFF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RANGE!F67"/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18,01%</w:t>
            </w:r>
            <w:bookmarkEnd w:id="5"/>
          </w:p>
        </w:tc>
      </w:tr>
      <w:tr w:rsidR="00291023" w:rsidRPr="00BA2441" w:rsidTr="00897789">
        <w:trPr>
          <w:trHeight w:val="430"/>
        </w:trPr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  <w:proofErr w:type="gramStart"/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53,91%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33,09%</w:t>
            </w:r>
          </w:p>
        </w:tc>
        <w:tc>
          <w:tcPr>
            <w:tcW w:w="3375" w:type="dxa"/>
            <w:shd w:val="clear" w:color="auto" w:fill="auto"/>
            <w:noWrap/>
            <w:vAlign w:val="center"/>
            <w:hideMark/>
          </w:tcPr>
          <w:p w:rsidR="00291023" w:rsidRPr="00BA2441" w:rsidRDefault="00291023" w:rsidP="0089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13,00%</w:t>
            </w:r>
          </w:p>
        </w:tc>
      </w:tr>
    </w:tbl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Из данных диаграмм можно сделать вывод о том, что % детей, имеющих уровень ЕНГ и МГ ниже базового в районе меньше, чем среднее значение по краю, а количество детей с повышенным уровнем выше, чем в крае.</w:t>
      </w:r>
      <w:r w:rsidRPr="006732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Средний процент выполнения работ по ЕНГ представлен в диаграмме № 5.</w:t>
      </w:r>
    </w:p>
    <w:p w:rsidR="00291023" w:rsidRPr="003B3000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Диаграмма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</w:p>
    <w:p w:rsidR="00291023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Средний процент выполнения ЕНГ</w:t>
      </w:r>
    </w:p>
    <w:p w:rsidR="00291023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91023" w:rsidRDefault="00291023" w:rsidP="00291023">
      <w:pPr>
        <w:spacing w:after="26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C29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64307" cy="2411399"/>
            <wp:effectExtent l="19050" t="0" r="17393" b="7951"/>
            <wp:docPr id="2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Лучше всех показали результаты по ЕНГ обучающиеся следующих школ: МКОУ Нижнетерянской, Такучетской,Таежнинской № 7.</w:t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Средний процент выполнения КДР по ЕНГ в районе выше , чем в крае на 1%.</w:t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Срещний процент выполнения работ по МГ представлен в диаграмме № 6.</w:t>
      </w:r>
    </w:p>
    <w:p w:rsidR="00291023" w:rsidRPr="003B3000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Диаграмма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</w:p>
    <w:p w:rsidR="00291023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Средний процент выполнения МГ</w:t>
      </w:r>
    </w:p>
    <w:p w:rsidR="00291023" w:rsidRDefault="00291023" w:rsidP="00291023">
      <w:pPr>
        <w:spacing w:after="26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847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48405" cy="2454965"/>
            <wp:effectExtent l="19050" t="0" r="18995" b="2485"/>
            <wp:docPr id="2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Самые высокие показатели уровня МГ среди обучающихся 8 классов в следующих школах: МКОУ Такучетской, Невонской, Артюгинской, Красногорьевской  и Богучанской  № 1. </w:t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процент выполнения КДР по МГ в районе выше, чем средний по краю на 2 %.</w:t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процент выполнения работы в целом виден на диаграмме № 7. </w:t>
      </w:r>
    </w:p>
    <w:p w:rsidR="00291023" w:rsidRPr="003B3000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Диаграмма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</w:t>
      </w:r>
    </w:p>
    <w:p w:rsidR="00291023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Средний процент выполнения</w:t>
      </w:r>
    </w:p>
    <w:p w:rsidR="00291023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91023" w:rsidRDefault="00291023" w:rsidP="00291023">
      <w:pPr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48405" cy="3101008"/>
            <wp:effectExtent l="19050" t="0" r="18995" b="4142"/>
            <wp:docPr id="2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Лучшие результаты в районе показали восьмиклассники МКОУ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Артюгинской, Кежекской, Невонской, Нижнетерянской школ. Чуть ниже результаты Пинчугской школы. Средние результаты по району выше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2 %.</w:t>
      </w:r>
    </w:p>
    <w:p w:rsidR="00291023" w:rsidRPr="003B3000" w:rsidRDefault="00291023" w:rsidP="0029102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Диаграмма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</w:p>
    <w:p w:rsidR="00291023" w:rsidRPr="003B3000" w:rsidRDefault="00291023" w:rsidP="0029102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 Результаты КДР 8 с учетом ИОУ</w:t>
      </w:r>
    </w:p>
    <w:p w:rsidR="00291023" w:rsidRDefault="00291023" w:rsidP="00291023">
      <w:pPr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91023" w:rsidRDefault="00F751AE" w:rsidP="00291023">
      <w:pPr>
        <w:spacing w:after="26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5" type="#_x0000_t202" style="position:absolute;left:0;text-align:left;margin-left:200.4pt;margin-top:199.2pt;width:46.65pt;height:19.6pt;z-index:251662336;mso-width-relative:margin;mso-height-relative:margin">
            <v:textbox>
              <w:txbxContent>
                <w:p w:rsidR="00291023" w:rsidRDefault="00291023" w:rsidP="00291023">
                  <w:r>
                    <w:t>БШ 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1" type="#_x0000_t202" style="position:absolute;left:0;text-align:left;margin-left:270.55pt;margin-top:179.6pt;width:46.65pt;height:19.6pt;z-index:251658240;mso-width-relative:margin;mso-height-relative:margin">
            <v:textbox>
              <w:txbxContent>
                <w:p w:rsidR="00291023" w:rsidRDefault="00291023" w:rsidP="00291023">
                  <w:r>
                    <w:t>БШ 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2" type="#_x0000_t202" style="position:absolute;left:0;text-align:left;margin-left:277.3pt;margin-top:210.15pt;width:75.9pt;height:19.6pt;z-index:251659264;mso-width-relative:margin;mso-height-relative:margin">
            <v:textbox>
              <w:txbxContent>
                <w:p w:rsidR="00291023" w:rsidRDefault="00291023" w:rsidP="00291023">
                  <w:r>
                    <w:t>Новохайская школа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3" type="#_x0000_t202" style="position:absolute;left:0;text-align:left;margin-left:277.3pt;margin-top:294.65pt;width:75.9pt;height:19.6pt;z-index:251660288;mso-width-relative:margin;mso-height-relative:margin">
            <v:textbox>
              <w:txbxContent>
                <w:p w:rsidR="00291023" w:rsidRDefault="00291023" w:rsidP="00291023">
                  <w:r>
                    <w:t>Ангарская школа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4" type="#_x0000_t202" style="position:absolute;left:0;text-align:left;margin-left:182.1pt;margin-top:298.55pt;width:75.9pt;height:19.6pt;z-index:251661312;mso-width-relative:margin;mso-height-relative:margin">
            <v:textbox>
              <w:txbxContent>
                <w:p w:rsidR="00291023" w:rsidRDefault="00291023" w:rsidP="00291023">
                  <w:r>
                    <w:t>Хребтовская школа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0" type="#_x0000_t202" style="position:absolute;left:0;text-align:left;margin-left:241.3pt;margin-top:133.45pt;width:75.9pt;height:19.6pt;z-index:251657216;mso-width-relative:margin;mso-height-relative:margin">
            <v:textbox>
              <w:txbxContent>
                <w:p w:rsidR="00291023" w:rsidRDefault="00291023" w:rsidP="00291023">
                  <w:r>
                    <w:t>Такучетская школа</w:t>
                  </w:r>
                </w:p>
              </w:txbxContent>
            </v:textbox>
          </v:shape>
        </w:pict>
      </w:r>
      <w:r w:rsidR="00291023">
        <w:t xml:space="preserve"> </w:t>
      </w:r>
      <w:r w:rsidR="002910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35707" cy="4572000"/>
            <wp:effectExtent l="19050" t="0" r="0" b="0"/>
            <wp:docPr id="6" name="Рисунок 1" descr="D:\Users\Userruo\Desktop\КДР 2022-23\КДР 8\57_Богучанский район_МО\57_Богучанский район_КДР8_2022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ruo\Desktop\КДР 2022-23\КДР 8\57_Богучанский район_МО\57_Богучанский район_КДР8_2022-2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48" cy="45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23" w:rsidRPr="0074620F" w:rsidRDefault="00291023" w:rsidP="00291023">
      <w:pPr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Данная диаграмма демонстрирует похожую картину на результаты КДР 6: МКОУ Хребтовская школа получила результаты ниже линии ожидаемых, Такучетска – выше. МКОУ Богучанская школа № 1 и № 3,  МКОУ Новохайская школа получили результаты близкие к линии ожидаемых. </w:t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сравнить результаты этих же детей  по результатам написания КДР по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A75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тической грамотности с прошлым годом, то получится следующая картина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представленная в диаграмме № 10.</w:t>
      </w:r>
    </w:p>
    <w:p w:rsidR="00291023" w:rsidRPr="003B3000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Диаграмма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9 </w:t>
      </w:r>
    </w:p>
    <w:p w:rsidR="00291023" w:rsidRPr="00A753EB" w:rsidRDefault="00291023" w:rsidP="00291023">
      <w:pPr>
        <w:spacing w:after="26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753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Распределение участников по уровням достижений</w:t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3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079724" cy="2325757"/>
            <wp:effectExtent l="19050" t="0" r="25676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91023" w:rsidRDefault="00291023" w:rsidP="00291023">
      <w:pPr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диаграмма говорит о повышении уровня «ниже базового» и «повышенного», уровень «базовый» - снизился на 4 %.</w:t>
      </w:r>
    </w:p>
    <w:p w:rsidR="00291023" w:rsidRPr="0074620F" w:rsidRDefault="00291023" w:rsidP="00291023">
      <w:pPr>
        <w:spacing w:after="2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КДР 4 </w:t>
      </w:r>
    </w:p>
    <w:p w:rsidR="00291023" w:rsidRDefault="00291023" w:rsidP="00291023">
      <w:pPr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диагностической работе по читательской грамотности для 4-х классов приняли участие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выпускников из всех школ Богучанского района. Дата проведения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2023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291023" w:rsidRPr="0074620F" w:rsidRDefault="00291023" w:rsidP="00291023">
      <w:pPr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Основные результаты по муниципальному образованию приведены в сопоставлении с данными, полученными на региональной репрезентативной выборке, где процедура проходила под наблюдением представителей ЦОКО (таблица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91023" w:rsidRPr="00364B4F" w:rsidRDefault="00291023" w:rsidP="00291023">
      <w:pPr>
        <w:tabs>
          <w:tab w:val="left" w:pos="183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64B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</w:p>
    <w:p w:rsidR="00291023" w:rsidRPr="00364B4F" w:rsidRDefault="00291023" w:rsidP="00291023">
      <w:pPr>
        <w:tabs>
          <w:tab w:val="left" w:pos="183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64B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Основные результаты выполнения КДР 4 по ЧГ</w:t>
      </w:r>
    </w:p>
    <w:p w:rsidR="00291023" w:rsidRPr="0074620F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0"/>
        <w:gridCol w:w="3801"/>
        <w:gridCol w:w="1701"/>
        <w:gridCol w:w="1522"/>
      </w:tblGrid>
      <w:tr w:rsidR="00291023" w:rsidRPr="000907C7" w:rsidTr="00897789">
        <w:trPr>
          <w:trHeight w:val="960"/>
        </w:trPr>
        <w:tc>
          <w:tcPr>
            <w:tcW w:w="6521" w:type="dxa"/>
            <w:gridSpan w:val="2"/>
            <w:shd w:val="clear" w:color="000000" w:fill="39639D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FFFFFF"/>
                <w:lang w:eastAsia="ru-RU"/>
              </w:rPr>
              <w:t>Основные результаты выполнения диагностической работы</w:t>
            </w:r>
            <w:r w:rsidRPr="000907C7">
              <w:rPr>
                <w:rFonts w:ascii="Arial Narrow" w:eastAsia="Times New Roman" w:hAnsi="Arial Narrow" w:cs="Times New Roman"/>
                <w:color w:val="FFFFFF"/>
                <w:lang w:eastAsia="ru-RU"/>
              </w:rPr>
              <w:br/>
              <w:t xml:space="preserve">по читательской грамотности </w:t>
            </w:r>
          </w:p>
        </w:tc>
        <w:tc>
          <w:tcPr>
            <w:tcW w:w="1701" w:type="dxa"/>
            <w:shd w:val="clear" w:color="000000" w:fill="39639D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FFFFFF"/>
                <w:lang w:eastAsia="ru-RU"/>
              </w:rPr>
              <w:t>Среднее значение по муниципальному образованию</w:t>
            </w:r>
            <w:proofErr w:type="gramStart"/>
            <w:r w:rsidRPr="000907C7">
              <w:rPr>
                <w:rFonts w:ascii="Arial Narrow" w:eastAsia="Times New Roman" w:hAnsi="Arial Narrow" w:cs="Times New Roman"/>
                <w:color w:val="FFFFFF"/>
                <w:lang w:eastAsia="ru-RU"/>
              </w:rPr>
              <w:t xml:space="preserve"> (%)</w:t>
            </w:r>
            <w:proofErr w:type="gramEnd"/>
          </w:p>
        </w:tc>
        <w:tc>
          <w:tcPr>
            <w:tcW w:w="1522" w:type="dxa"/>
            <w:shd w:val="clear" w:color="000000" w:fill="39639D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FFFFFF"/>
                <w:lang w:eastAsia="ru-RU"/>
              </w:rPr>
              <w:t>Среднее значение по Красноярскому краю</w:t>
            </w:r>
            <w:proofErr w:type="gramStart"/>
            <w:r w:rsidRPr="000907C7">
              <w:rPr>
                <w:rFonts w:ascii="Arial Narrow" w:eastAsia="Times New Roman" w:hAnsi="Arial Narrow" w:cs="Times New Roman"/>
                <w:color w:val="FFFFFF"/>
                <w:lang w:eastAsia="ru-RU"/>
              </w:rPr>
              <w:t xml:space="preserve"> (%)</w:t>
            </w:r>
            <w:proofErr w:type="gramEnd"/>
          </w:p>
        </w:tc>
      </w:tr>
      <w:tr w:rsidR="00291023" w:rsidRPr="000907C7" w:rsidTr="00897789">
        <w:trPr>
          <w:trHeight w:val="405"/>
        </w:trPr>
        <w:tc>
          <w:tcPr>
            <w:tcW w:w="9744" w:type="dxa"/>
            <w:gridSpan w:val="4"/>
            <w:shd w:val="clear" w:color="000000" w:fill="DEF5FA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lang w:eastAsia="ru-RU"/>
              </w:rPr>
              <w:t>Успешность выполнения</w:t>
            </w:r>
          </w:p>
        </w:tc>
      </w:tr>
      <w:tr w:rsidR="00291023" w:rsidRPr="000907C7" w:rsidTr="00897789">
        <w:trPr>
          <w:trHeight w:val="360"/>
        </w:trPr>
        <w:tc>
          <w:tcPr>
            <w:tcW w:w="6521" w:type="dxa"/>
            <w:gridSpan w:val="2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lang w:eastAsia="ru-RU"/>
              </w:rPr>
              <w:t>Вся работа (балл по 100-балльной шкале)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6" w:name="RANGE!E11"/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56</w:t>
            </w:r>
            <w:bookmarkEnd w:id="6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56</w:t>
            </w:r>
          </w:p>
        </w:tc>
      </w:tr>
      <w:tr w:rsidR="00291023" w:rsidRPr="000907C7" w:rsidTr="00897789">
        <w:trPr>
          <w:trHeight w:val="345"/>
        </w:trPr>
        <w:tc>
          <w:tcPr>
            <w:tcW w:w="2720" w:type="dxa"/>
            <w:vMerge w:val="restart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Успешность выполнения заданий по группам умений</w:t>
            </w:r>
            <w:r w:rsidRPr="000907C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(% от максимального балла за задания данной группы)</w:t>
            </w:r>
          </w:p>
        </w:tc>
        <w:tc>
          <w:tcPr>
            <w:tcW w:w="3801" w:type="dxa"/>
            <w:shd w:val="clear" w:color="auto" w:fill="auto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Общее понимание текста, ориентация в тексте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7" w:name="RANGE!E12"/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69,06%</w:t>
            </w:r>
            <w:bookmarkEnd w:id="7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69,51%</w:t>
            </w:r>
          </w:p>
        </w:tc>
      </w:tr>
      <w:tr w:rsidR="00291023" w:rsidRPr="000907C7" w:rsidTr="00897789">
        <w:trPr>
          <w:trHeight w:val="345"/>
        </w:trPr>
        <w:tc>
          <w:tcPr>
            <w:tcW w:w="2720" w:type="dxa"/>
            <w:vMerge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8" w:name="RANGE!E13"/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55,97%</w:t>
            </w:r>
            <w:bookmarkEnd w:id="8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55,50%</w:t>
            </w:r>
          </w:p>
        </w:tc>
      </w:tr>
      <w:tr w:rsidR="00291023" w:rsidRPr="000907C7" w:rsidTr="00897789">
        <w:trPr>
          <w:trHeight w:val="540"/>
        </w:trPr>
        <w:tc>
          <w:tcPr>
            <w:tcW w:w="2720" w:type="dxa"/>
            <w:vMerge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Использование информации из текста для различных целей, осмысление и оценка информации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9" w:name="RANGE!E14"/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43,53%</w:t>
            </w:r>
            <w:bookmarkEnd w:id="9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40,31%</w:t>
            </w:r>
          </w:p>
        </w:tc>
      </w:tr>
      <w:tr w:rsidR="00291023" w:rsidRPr="000907C7" w:rsidTr="00897789">
        <w:trPr>
          <w:trHeight w:val="390"/>
        </w:trPr>
        <w:tc>
          <w:tcPr>
            <w:tcW w:w="9744" w:type="dxa"/>
            <w:gridSpan w:val="4"/>
            <w:shd w:val="clear" w:color="000000" w:fill="DEF5FA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Уровни достижений (% учащихся)</w:t>
            </w:r>
          </w:p>
        </w:tc>
      </w:tr>
      <w:tr w:rsidR="00291023" w:rsidRPr="000907C7" w:rsidTr="00897789">
        <w:trPr>
          <w:trHeight w:val="390"/>
        </w:trPr>
        <w:tc>
          <w:tcPr>
            <w:tcW w:w="6521" w:type="dxa"/>
            <w:gridSpan w:val="2"/>
            <w:shd w:val="clear" w:color="auto" w:fill="auto"/>
            <w:hideMark/>
          </w:tcPr>
          <w:p w:rsidR="00291023" w:rsidRPr="000907C7" w:rsidRDefault="00291023" w:rsidP="00897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Преодолели границу пониженного (порогового) уровня (% учащихся)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bookmarkStart w:id="10" w:name="RANGE!E16"/>
            <w:r w:rsidRPr="000907C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94,64%</w:t>
            </w:r>
            <w:bookmarkEnd w:id="10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91023" w:rsidRPr="000907C7" w:rsidRDefault="00291023" w:rsidP="00897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0907C7">
              <w:rPr>
                <w:rFonts w:ascii="Arial Narrow" w:eastAsia="Times New Roman" w:hAnsi="Arial Narrow" w:cs="Times New Roman"/>
                <w:lang w:eastAsia="ru-RU"/>
              </w:rPr>
              <w:t>93,33%</w:t>
            </w:r>
          </w:p>
        </w:tc>
      </w:tr>
    </w:tbl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представленной таблицы можно сделать вывод, что результаты обучающихся 4 классов школ Богучанского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совпадают с результатами краевыми.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таблицы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видно, что результатов повышенного уровня в районе несколько больше, чем в представленной выборке.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023" w:rsidRPr="00364B4F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Таблица № 4</w:t>
      </w:r>
    </w:p>
    <w:p w:rsidR="00291023" w:rsidRPr="00364B4F" w:rsidRDefault="00291023" w:rsidP="00291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64B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 Уровни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КДР 4 по ЧГ</w:t>
      </w:r>
      <w:r w:rsidRPr="00364B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3"/>
        <w:gridCol w:w="1559"/>
        <w:gridCol w:w="2379"/>
        <w:gridCol w:w="2016"/>
        <w:gridCol w:w="1984"/>
      </w:tblGrid>
      <w:tr w:rsidR="00291023" w:rsidTr="00897789">
        <w:trPr>
          <w:trHeight w:val="315"/>
        </w:trPr>
        <w:tc>
          <w:tcPr>
            <w:tcW w:w="1853" w:type="dxa"/>
            <w:vMerge w:val="restart"/>
            <w:shd w:val="clear" w:color="000000" w:fill="39639D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38" w:type="dxa"/>
            <w:gridSpan w:val="4"/>
            <w:shd w:val="clear" w:color="000000" w:fill="39639D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291023" w:rsidTr="00897789">
        <w:trPr>
          <w:trHeight w:val="300"/>
        </w:trPr>
        <w:tc>
          <w:tcPr>
            <w:tcW w:w="1853" w:type="dxa"/>
            <w:vMerge/>
            <w:vAlign w:val="center"/>
            <w:hideMark/>
          </w:tcPr>
          <w:p w:rsidR="00291023" w:rsidRDefault="00291023" w:rsidP="00897789">
            <w:pPr>
              <w:rPr>
                <w:rFonts w:ascii="Arial Narrow" w:hAnsi="Arial Narrow"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39639D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</w:rPr>
              <w:t>Недостаточный</w:t>
            </w:r>
          </w:p>
        </w:tc>
        <w:tc>
          <w:tcPr>
            <w:tcW w:w="2379" w:type="dxa"/>
            <w:shd w:val="clear" w:color="000000" w:fill="39639D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</w:rPr>
              <w:t>Пониженный (пороговый)</w:t>
            </w:r>
          </w:p>
        </w:tc>
        <w:tc>
          <w:tcPr>
            <w:tcW w:w="2016" w:type="dxa"/>
            <w:shd w:val="clear" w:color="000000" w:fill="39639D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</w:rPr>
              <w:t>Базовый</w:t>
            </w:r>
          </w:p>
        </w:tc>
        <w:tc>
          <w:tcPr>
            <w:tcW w:w="1984" w:type="dxa"/>
            <w:shd w:val="clear" w:color="000000" w:fill="39639D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color w:val="FFFFFF"/>
                <w:sz w:val="20"/>
                <w:szCs w:val="20"/>
              </w:rPr>
              <w:t>Повышенный</w:t>
            </w:r>
          </w:p>
        </w:tc>
      </w:tr>
      <w:tr w:rsidR="00291023" w:rsidTr="00897789">
        <w:trPr>
          <w:trHeight w:val="625"/>
        </w:trPr>
        <w:tc>
          <w:tcPr>
            <w:tcW w:w="1853" w:type="dxa"/>
            <w:shd w:val="clear" w:color="000000" w:fill="FFFFFF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Красноярский край</w:t>
            </w:r>
            <w:proofErr w:type="gramStart"/>
            <w:r>
              <w:rPr>
                <w:rFonts w:ascii="Arial Narrow" w:hAnsi="Arial Narrow"/>
                <w:color w:val="000000"/>
              </w:rPr>
              <w:t xml:space="preserve"> (%)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6,67%</w:t>
            </w:r>
          </w:p>
        </w:tc>
        <w:tc>
          <w:tcPr>
            <w:tcW w:w="2379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18,27%</w:t>
            </w:r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50,00%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25,06%</w:t>
            </w:r>
          </w:p>
        </w:tc>
      </w:tr>
      <w:tr w:rsidR="00291023" w:rsidTr="00897789">
        <w:trPr>
          <w:trHeight w:val="570"/>
        </w:trPr>
        <w:tc>
          <w:tcPr>
            <w:tcW w:w="1853" w:type="dxa"/>
            <w:shd w:val="clear" w:color="000000" w:fill="FFFFFF"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Муниципальное образование</w:t>
            </w:r>
            <w:proofErr w:type="gramStart"/>
            <w:r>
              <w:rPr>
                <w:rFonts w:ascii="Arial Narrow" w:hAnsi="Arial Narrow"/>
                <w:color w:val="000000"/>
              </w:rPr>
              <w:t xml:space="preserve"> (%)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bookmarkStart w:id="11" w:name="RANGE!C40"/>
            <w:r>
              <w:rPr>
                <w:rFonts w:ascii="Arial Narrow" w:hAnsi="Arial Narrow"/>
                <w:color w:val="000000"/>
              </w:rPr>
              <w:t>5,36%</w:t>
            </w:r>
            <w:bookmarkEnd w:id="11"/>
          </w:p>
        </w:tc>
        <w:tc>
          <w:tcPr>
            <w:tcW w:w="2379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bookmarkStart w:id="12" w:name="RANGE!D40"/>
            <w:r>
              <w:rPr>
                <w:rFonts w:ascii="Arial Narrow" w:hAnsi="Arial Narrow"/>
                <w:color w:val="000000"/>
              </w:rPr>
              <w:t>15,63%</w:t>
            </w:r>
            <w:bookmarkEnd w:id="12"/>
          </w:p>
        </w:tc>
        <w:tc>
          <w:tcPr>
            <w:tcW w:w="2016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bookmarkStart w:id="13" w:name="RANGE!E40"/>
            <w:r>
              <w:rPr>
                <w:rFonts w:ascii="Arial Narrow" w:hAnsi="Arial Narrow"/>
                <w:color w:val="000000"/>
              </w:rPr>
              <w:t>53,57%</w:t>
            </w:r>
            <w:bookmarkEnd w:id="13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91023" w:rsidRDefault="00291023" w:rsidP="0089778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bookmarkStart w:id="14" w:name="RANGE!F40"/>
            <w:r>
              <w:rPr>
                <w:rFonts w:ascii="Arial Narrow" w:hAnsi="Arial Narrow"/>
                <w:color w:val="000000"/>
              </w:rPr>
              <w:t>25,45%</w:t>
            </w:r>
            <w:bookmarkEnd w:id="14"/>
          </w:p>
        </w:tc>
      </w:tr>
    </w:tbl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таблицы № 4 видим, что учащихся с недостаточным уровнем в районе 5,36%, с повышенным – 25%.</w:t>
      </w:r>
      <w:proofErr w:type="gramEnd"/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КДР 4 по групповому проекту четвероклассники писали в феврале 2023 г.</w:t>
      </w:r>
    </w:p>
    <w:p w:rsidR="00291023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базовый уровень выполнили работу 55 %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повышенный уровень определен у 42 %.</w:t>
      </w:r>
    </w:p>
    <w:p w:rsidR="00291023" w:rsidRPr="0074620F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023" w:rsidRPr="0074620F" w:rsidRDefault="00291023" w:rsidP="00291023">
      <w:pPr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КДР  были проанализированы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 4-х классов всех школ.</w:t>
      </w:r>
    </w:p>
    <w:p w:rsidR="00291023" w:rsidRDefault="00291023" w:rsidP="00291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Основными причинами низких результатов можно назвать </w:t>
      </w:r>
      <w:proofErr w:type="gramStart"/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следующие</w:t>
      </w:r>
      <w:proofErr w:type="gramEnd"/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91023" w:rsidRPr="0074620F" w:rsidRDefault="00291023" w:rsidP="00291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1023" w:rsidRPr="0074620F" w:rsidRDefault="00291023" w:rsidP="00291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Работа по формированию читательской грамотности носит фрагментарный характер, отсутствует системность.</w:t>
      </w:r>
    </w:p>
    <w:p w:rsidR="00291023" w:rsidRPr="0074620F" w:rsidRDefault="00291023" w:rsidP="00291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 Задания по формированию читательской грамотности используются недостаточно, они не встраиваются в различные этапы урока, недостаточно присутствуют в домашних заданиях по учебным предметам в начальной школе.</w:t>
      </w:r>
    </w:p>
    <w:p w:rsidR="00291023" w:rsidRDefault="00291023" w:rsidP="00291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 Учителями недостаточно эффективно проводится индивидуальная работа по коррекции пробелов у обучающихся в плане формирования разных грамотностей.</w:t>
      </w:r>
    </w:p>
    <w:p w:rsidR="00291023" w:rsidRDefault="00291023" w:rsidP="00291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1023" w:rsidRDefault="00291023" w:rsidP="00291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Рекомендовано:</w:t>
      </w:r>
    </w:p>
    <w:p w:rsidR="00291023" w:rsidRDefault="00291023" w:rsidP="00291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1023" w:rsidRDefault="00291023" w:rsidP="00291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школах, где наблюдается значительное отклонение от линии ожидаемых результатов – выше ожидаемых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следующих ОУ: Такучетская, Невонская, Нижнетерянская школы; ниже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ожидаемых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Хребтовская, Чуноярская,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Пинчугская, этим школам и другим, у которых результаты имеют не столь значительные отклонения от линии ожидаемых результатов было рекомендовано проанализировать объективность проведения и оценки КДР.</w:t>
      </w:r>
    </w:p>
    <w:p w:rsidR="00291023" w:rsidRDefault="00291023" w:rsidP="00291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школ, результаты которых по одной работе  находятся на линии или рядом с линией ожидаемых результатов, а по другой работе результаты отклоняются от линии ожидаемых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проанализировать и выявить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причины значительных отклонений по работам: БШ № 1, БШ 2, Говорковская, Таежнинская № 7, БШ № 3.</w:t>
      </w:r>
    </w:p>
    <w:p w:rsidR="00291023" w:rsidRDefault="00291023" w:rsidP="00291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всех школах провести сопоставление четвертных отметок и оценок, полученных на КДР с цель корректировки системы оценивания.</w:t>
      </w:r>
    </w:p>
    <w:p w:rsidR="00291023" w:rsidRDefault="00291023" w:rsidP="00291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1023" w:rsidRPr="0074620F" w:rsidRDefault="00291023" w:rsidP="00291023">
      <w:pPr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задачи, которые были поставлены школам для повышения качества результатов КДР в последующих годах:</w:t>
      </w:r>
    </w:p>
    <w:p w:rsidR="00291023" w:rsidRPr="0074620F" w:rsidRDefault="00291023" w:rsidP="00291023">
      <w:pPr>
        <w:pStyle w:val="a3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разбор ошибок с детьми, допущенных ими на КДР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023" w:rsidRPr="0074620F" w:rsidRDefault="00291023" w:rsidP="00291023">
      <w:pPr>
        <w:pStyle w:val="a3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банки тренировочных заданий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РЭШ 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и во внеурочных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023" w:rsidRPr="0074620F" w:rsidRDefault="00291023" w:rsidP="00291023">
      <w:pPr>
        <w:pStyle w:val="a3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Провести входную диагностику </w:t>
      </w:r>
      <w:proofErr w:type="gramStart"/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023" w:rsidRPr="0074620F" w:rsidRDefault="00291023" w:rsidP="00291023">
      <w:pPr>
        <w:pStyle w:val="a3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школьные семинары/педсоветы/совещания по вопросам формирования грамотностей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1023" w:rsidRPr="0074620F" w:rsidRDefault="00291023" w:rsidP="00291023">
      <w:pPr>
        <w:pStyle w:val="a3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включать в урочные занятия работу с различными текстами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023" w:rsidRPr="0074620F" w:rsidRDefault="00291023" w:rsidP="00291023">
      <w:pPr>
        <w:pStyle w:val="a3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на уроках методы и приемы, формирующие  функциональную грамотность (далее – ФГ) </w:t>
      </w:r>
      <w:proofErr w:type="gramStart"/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023" w:rsidRPr="0074620F" w:rsidRDefault="00291023" w:rsidP="00291023">
      <w:pPr>
        <w:pStyle w:val="a3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мониторинги профессиональных дефицитов педагогов по вопросам </w:t>
      </w:r>
      <w:proofErr w:type="gramStart"/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proofErr w:type="gramEnd"/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023" w:rsidRDefault="00291023" w:rsidP="00291023">
      <w:pPr>
        <w:pStyle w:val="a3"/>
        <w:numPr>
          <w:ilvl w:val="0"/>
          <w:numId w:val="1"/>
        </w:numPr>
        <w:spacing w:after="26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школ усилить </w:t>
      </w:r>
      <w:proofErr w:type="gramStart"/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4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формированием ФГ на уроках и внеурочных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использование банка заданий РЭШ и других источников.</w:t>
      </w:r>
    </w:p>
    <w:p w:rsidR="00291023" w:rsidRDefault="00291023" w:rsidP="0029102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КДР объективно подходить к оцениванию результатов, а также повысить </w:t>
      </w:r>
      <w:proofErr w:type="gramStart"/>
      <w:r w:rsidRPr="0081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1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  проведением диагностических процедур.    </w:t>
      </w:r>
    </w:p>
    <w:p w:rsidR="00291023" w:rsidRDefault="00291023" w:rsidP="00291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023" w:rsidRPr="004B5B45" w:rsidRDefault="00291023" w:rsidP="0029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муниципалитете </w:t>
      </w:r>
      <w:r w:rsidRPr="004B5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практику перекрестной или муниципальной проверки силами педагогов, способных осуществлять независимую оценку работ обучающихся. Также расширить общественное наблюдение  за процедурой проведения КДР силами специалистов управления образования и методистов.</w:t>
      </w:r>
    </w:p>
    <w:p w:rsidR="00291023" w:rsidRDefault="00291023" w:rsidP="0029102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0744" w:rsidRDefault="009D0744" w:rsidP="0029102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0744" w:rsidRDefault="009D0744" w:rsidP="0029102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0744" w:rsidRPr="009D0744" w:rsidRDefault="009D0744" w:rsidP="009D074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D0744">
        <w:rPr>
          <w:rFonts w:ascii="Times New Roman" w:hAnsi="Times New Roman" w:cs="Times New Roman"/>
          <w:sz w:val="24"/>
          <w:szCs w:val="24"/>
        </w:rPr>
        <w:t xml:space="preserve">Главный специалист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D07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074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28675" cy="47271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7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0744">
        <w:rPr>
          <w:rFonts w:ascii="Times New Roman" w:hAnsi="Times New Roman" w:cs="Times New Roman"/>
          <w:sz w:val="24"/>
          <w:szCs w:val="24"/>
        </w:rPr>
        <w:t xml:space="preserve">                          С.И.Харитонова</w:t>
      </w:r>
    </w:p>
    <w:sectPr w:rsidR="009D0744" w:rsidRPr="009D0744" w:rsidSect="0098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12FA"/>
    <w:multiLevelType w:val="hybridMultilevel"/>
    <w:tmpl w:val="0B38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61A41"/>
    <w:multiLevelType w:val="hybridMultilevel"/>
    <w:tmpl w:val="C9F8D308"/>
    <w:lvl w:ilvl="0" w:tplc="8D7AF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25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49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6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C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AE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EB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C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6E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14FD3"/>
    <w:multiLevelType w:val="hybridMultilevel"/>
    <w:tmpl w:val="01B249AA"/>
    <w:lvl w:ilvl="0" w:tplc="3E8E5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1023"/>
    <w:rsid w:val="000C716F"/>
    <w:rsid w:val="00175486"/>
    <w:rsid w:val="00250015"/>
    <w:rsid w:val="00291023"/>
    <w:rsid w:val="005C421D"/>
    <w:rsid w:val="009813B3"/>
    <w:rsid w:val="00985379"/>
    <w:rsid w:val="009D0744"/>
    <w:rsid w:val="00A562B7"/>
    <w:rsid w:val="00EB3D36"/>
    <w:rsid w:val="00F7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1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29102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91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50;&#1044;&#1056;%202022-23\&#1050;&#1044;&#1056;%206%20&#1063;&#1043;\&#1056;&#1077;&#1079;&#1091;&#1083;&#1100;&#1090;&#1072;&#1090;&#1099;%20&#1050;&#1044;&#1056;%20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50;&#1044;&#1056;%202022-23\&#1050;&#1044;&#1056;%206%20&#1063;&#1043;\&#1052;&#1091;&#1085;&#1080;&#1094;&#1080;&#1087;&#1072;&#1083;&#1100;&#1085;&#1072;&#1103;%20&#1087;&#1088;&#1086;&#1074;&#1077;&#1088;&#1082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50;&#1044;&#1056;%202022-23\&#1050;&#1044;&#1056;%206%20&#1063;&#1043;\&#1052;&#1091;&#1085;&#1080;&#1094;&#1080;&#1087;&#1072;&#1083;&#1100;&#1085;&#1072;&#1103;%20&#1087;&#1088;&#1086;&#1074;&#1077;&#1088;&#1082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50;&#1044;&#1056;%202022-23\&#1050;&#1044;&#1056;%208\&#1056;&#1077;&#1079;&#1091;&#1083;&#1100;&#1090;&#1072;&#1090;&#1099;%20&#1050;&#1044;&#1056;%208%20&#1086;&#1090;%20&#1054;&#105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50;&#1044;&#1056;%202022-23\&#1050;&#1044;&#1056;%208\&#1056;&#1077;&#1079;&#1091;&#1083;&#1100;&#1090;&#1072;&#1090;&#1099;%20&#1050;&#1044;&#1056;%208%20&#1086;&#1090;%20&#1054;&#105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50;&#1044;&#1056;%202022-23\&#1050;&#1044;&#1056;%208\&#1056;&#1077;&#1079;&#1091;&#1083;&#1100;&#1090;&#1072;&#1090;&#1099;%20&#1050;&#1044;&#1056;%208%20&#1086;&#1090;%20&#1054;&#105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ruo\Desktop\&#1050;&#1044;&#1056;%202022-23\&#1050;&#1044;&#1056;%208\&#1056;&#1077;&#1079;&#1091;&#1083;&#1100;&#1090;&#1072;&#1090;&#1099;%20&#1050;&#1044;&#1056;%208%20&#1086;&#1090;%20&#1054;&#105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'Общий итог'!$B$3</c:f>
              <c:strCache>
                <c:ptCount val="1"/>
                <c:pt idx="0">
                  <c:v>Балл за работу по 100-балльной шкале</c:v>
                </c:pt>
              </c:strCache>
            </c:strRef>
          </c:tx>
          <c:dPt>
            <c:idx val="32"/>
            <c:spPr>
              <a:solidFill>
                <a:schemeClr val="accent2"/>
              </a:solidFill>
            </c:spPr>
          </c:dPt>
          <c:dPt>
            <c:idx val="34"/>
            <c:spPr>
              <a:solidFill>
                <a:srgbClr val="00B050"/>
              </a:solidFill>
            </c:spPr>
          </c:dPt>
          <c:dLbls>
            <c:showVal val="1"/>
          </c:dLbls>
          <c:cat>
            <c:strRef>
              <c:f>'Общий итог'!$A$4:$A$38</c:f>
              <c:strCache>
                <c:ptCount val="35"/>
                <c:pt idx="0">
                  <c:v>Ангарская 6а</c:v>
                </c:pt>
                <c:pt idx="1">
                  <c:v>Ангарская 6б</c:v>
                </c:pt>
                <c:pt idx="2">
                  <c:v>Артюгинская</c:v>
                </c:pt>
                <c:pt idx="3">
                  <c:v>Богучанская № 1 6а</c:v>
                </c:pt>
                <c:pt idx="4">
                  <c:v>Богучанская № 1 6б</c:v>
                </c:pt>
                <c:pt idx="5">
                  <c:v>Богучанская № 2 6а</c:v>
                </c:pt>
                <c:pt idx="6">
                  <c:v>Богучанская № 2 6б</c:v>
                </c:pt>
                <c:pt idx="7">
                  <c:v>Богучанская № 3</c:v>
                </c:pt>
                <c:pt idx="8">
                  <c:v>Богучанская № 4 6а</c:v>
                </c:pt>
                <c:pt idx="9">
                  <c:v>Богучанская № 4 6б</c:v>
                </c:pt>
                <c:pt idx="10">
                  <c:v>Говорковская</c:v>
                </c:pt>
                <c:pt idx="11">
                  <c:v>Гремучинская</c:v>
                </c:pt>
                <c:pt idx="12">
                  <c:v>Кежекская</c:v>
                </c:pt>
                <c:pt idx="13">
                  <c:v>Красногорьевская</c:v>
                </c:pt>
                <c:pt idx="14">
                  <c:v>Манзенская</c:v>
                </c:pt>
                <c:pt idx="15">
                  <c:v>Невонская</c:v>
                </c:pt>
                <c:pt idx="16">
                  <c:v>Нижнетерянская</c:v>
                </c:pt>
                <c:pt idx="17">
                  <c:v>Новохайская</c:v>
                </c:pt>
                <c:pt idx="18">
                  <c:v>Октябрьская 6а</c:v>
                </c:pt>
                <c:pt idx="19">
                  <c:v>Октябрьская 6б</c:v>
                </c:pt>
                <c:pt idx="20">
                  <c:v>Осиновская</c:v>
                </c:pt>
                <c:pt idx="21">
                  <c:v>Пинчугская 6а</c:v>
                </c:pt>
                <c:pt idx="22">
                  <c:v>Пинчугская 6б</c:v>
                </c:pt>
                <c:pt idx="23">
                  <c:v>Таежнинская № 7 6а</c:v>
                </c:pt>
                <c:pt idx="24">
                  <c:v>Таежнинская № 7 6б</c:v>
                </c:pt>
                <c:pt idx="25">
                  <c:v>Таежнинская № 20 6а</c:v>
                </c:pt>
                <c:pt idx="26">
                  <c:v>Таежнинская № 20 6б</c:v>
                </c:pt>
                <c:pt idx="27">
                  <c:v>Такучетская</c:v>
                </c:pt>
                <c:pt idx="28">
                  <c:v>Хребтовская</c:v>
                </c:pt>
                <c:pt idx="29">
                  <c:v>Чуноярская 6а</c:v>
                </c:pt>
                <c:pt idx="30">
                  <c:v>Чуноярская 6б</c:v>
                </c:pt>
                <c:pt idx="31">
                  <c:v>Шиверская</c:v>
                </c:pt>
                <c:pt idx="32">
                  <c:v>Среднее по району</c:v>
                </c:pt>
                <c:pt idx="34">
                  <c:v>Среднее по краю</c:v>
                </c:pt>
              </c:strCache>
            </c:strRef>
          </c:cat>
          <c:val>
            <c:numRef>
              <c:f>'Общий итог'!$B$4:$B$38</c:f>
              <c:numCache>
                <c:formatCode>0</c:formatCode>
                <c:ptCount val="35"/>
                <c:pt idx="0">
                  <c:v>59.44</c:v>
                </c:pt>
                <c:pt idx="1">
                  <c:v>40</c:v>
                </c:pt>
                <c:pt idx="2">
                  <c:v>43</c:v>
                </c:pt>
                <c:pt idx="3">
                  <c:v>61.75</c:v>
                </c:pt>
                <c:pt idx="4">
                  <c:v>57</c:v>
                </c:pt>
                <c:pt idx="5">
                  <c:v>63.04</c:v>
                </c:pt>
                <c:pt idx="6">
                  <c:v>53.14</c:v>
                </c:pt>
                <c:pt idx="7">
                  <c:v>50.71</c:v>
                </c:pt>
                <c:pt idx="8">
                  <c:v>44.47</c:v>
                </c:pt>
                <c:pt idx="9">
                  <c:v>52.24</c:v>
                </c:pt>
                <c:pt idx="10">
                  <c:v>55.78</c:v>
                </c:pt>
                <c:pt idx="11">
                  <c:v>52.3</c:v>
                </c:pt>
                <c:pt idx="12">
                  <c:v>59.5</c:v>
                </c:pt>
                <c:pt idx="13">
                  <c:v>50.6</c:v>
                </c:pt>
                <c:pt idx="14">
                  <c:v>55.8</c:v>
                </c:pt>
                <c:pt idx="15">
                  <c:v>62.86</c:v>
                </c:pt>
                <c:pt idx="16">
                  <c:v>63.5</c:v>
                </c:pt>
                <c:pt idx="17">
                  <c:v>54</c:v>
                </c:pt>
                <c:pt idx="18">
                  <c:v>52.15</c:v>
                </c:pt>
                <c:pt idx="19">
                  <c:v>59.379999999999995</c:v>
                </c:pt>
                <c:pt idx="20">
                  <c:v>54.1</c:v>
                </c:pt>
                <c:pt idx="21">
                  <c:v>55.42</c:v>
                </c:pt>
                <c:pt idx="22">
                  <c:v>51.17</c:v>
                </c:pt>
                <c:pt idx="23">
                  <c:v>62.32</c:v>
                </c:pt>
                <c:pt idx="24">
                  <c:v>50.89</c:v>
                </c:pt>
                <c:pt idx="25">
                  <c:v>50.68</c:v>
                </c:pt>
                <c:pt idx="26">
                  <c:v>46.6</c:v>
                </c:pt>
                <c:pt idx="27">
                  <c:v>69.599999999999994</c:v>
                </c:pt>
                <c:pt idx="28">
                  <c:v>40.54</c:v>
                </c:pt>
                <c:pt idx="29">
                  <c:v>41.260000000000012</c:v>
                </c:pt>
                <c:pt idx="30">
                  <c:v>46</c:v>
                </c:pt>
                <c:pt idx="31">
                  <c:v>52.09</c:v>
                </c:pt>
                <c:pt idx="32" formatCode="General">
                  <c:v>53.5</c:v>
                </c:pt>
                <c:pt idx="34">
                  <c:v>56.690000000000012</c:v>
                </c:pt>
              </c:numCache>
            </c:numRef>
          </c:val>
        </c:ser>
        <c:axId val="114782592"/>
        <c:axId val="114784128"/>
      </c:barChart>
      <c:catAx>
        <c:axId val="114782592"/>
        <c:scaling>
          <c:orientation val="minMax"/>
        </c:scaling>
        <c:axPos val="b"/>
        <c:tickLblPos val="nextTo"/>
        <c:crossAx val="114784128"/>
        <c:crosses val="autoZero"/>
        <c:auto val="1"/>
        <c:lblAlgn val="ctr"/>
        <c:lblOffset val="100"/>
      </c:catAx>
      <c:valAx>
        <c:axId val="114784128"/>
        <c:scaling>
          <c:orientation val="minMax"/>
        </c:scaling>
        <c:axPos val="l"/>
        <c:majorGridlines/>
        <c:numFmt formatCode="0" sourceLinked="1"/>
        <c:tickLblPos val="nextTo"/>
        <c:crossAx val="1147825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 несовпадений по школам</a:t>
            </a:r>
          </a:p>
        </c:rich>
      </c:tx>
    </c:title>
    <c:plotArea>
      <c:layout>
        <c:manualLayout>
          <c:layoutTarget val="inner"/>
          <c:xMode val="edge"/>
          <c:yMode val="edge"/>
          <c:x val="0.11764053406367712"/>
          <c:y val="0.28470224863053029"/>
          <c:w val="0.77651290463691958"/>
          <c:h val="0.44521083941024531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Лист1!$J$3:$J$9</c:f>
              <c:strCache>
                <c:ptCount val="7"/>
                <c:pt idx="0">
                  <c:v>БШ № 1</c:v>
                </c:pt>
                <c:pt idx="1">
                  <c:v>БШ № 3</c:v>
                </c:pt>
                <c:pt idx="2">
                  <c:v>ТШ № 20</c:v>
                </c:pt>
                <c:pt idx="3">
                  <c:v>Октябрьская</c:v>
                </c:pt>
                <c:pt idx="4">
                  <c:v>Такучетская</c:v>
                </c:pt>
                <c:pt idx="5">
                  <c:v>Чуноярская</c:v>
                </c:pt>
                <c:pt idx="6">
                  <c:v>Манзенская</c:v>
                </c:pt>
              </c:strCache>
            </c:strRef>
          </c:cat>
          <c:val>
            <c:numRef>
              <c:f>Лист1!$K$3:$K$9</c:f>
              <c:numCache>
                <c:formatCode>General</c:formatCode>
                <c:ptCount val="7"/>
                <c:pt idx="0">
                  <c:v>7.7</c:v>
                </c:pt>
                <c:pt idx="1">
                  <c:v>12.4</c:v>
                </c:pt>
                <c:pt idx="2">
                  <c:v>5</c:v>
                </c:pt>
                <c:pt idx="3">
                  <c:v>6.5</c:v>
                </c:pt>
                <c:pt idx="4">
                  <c:v>12.2</c:v>
                </c:pt>
                <c:pt idx="5">
                  <c:v>7</c:v>
                </c:pt>
                <c:pt idx="6">
                  <c:v>11.2</c:v>
                </c:pt>
              </c:numCache>
            </c:numRef>
          </c:val>
        </c:ser>
        <c:axId val="114791936"/>
        <c:axId val="114793472"/>
      </c:barChart>
      <c:catAx>
        <c:axId val="114791936"/>
        <c:scaling>
          <c:orientation val="minMax"/>
        </c:scaling>
        <c:axPos val="b"/>
        <c:tickLblPos val="nextTo"/>
        <c:crossAx val="114793472"/>
        <c:crosses val="autoZero"/>
        <c:auto val="1"/>
        <c:lblAlgn val="ctr"/>
        <c:lblOffset val="100"/>
      </c:catAx>
      <c:valAx>
        <c:axId val="114793472"/>
        <c:scaling>
          <c:orientation val="minMax"/>
        </c:scaling>
        <c:axPos val="l"/>
        <c:majorGridlines/>
        <c:numFmt formatCode="General" sourceLinked="1"/>
        <c:tickLblPos val="nextTo"/>
        <c:crossAx val="11479193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 несовпадений по предметам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Лист1!$C$14:$F$14</c:f>
              <c:strCache>
                <c:ptCount val="4"/>
                <c:pt idx="0">
                  <c:v>история</c:v>
                </c:pt>
                <c:pt idx="1">
                  <c:v>русский</c:v>
                </c:pt>
                <c:pt idx="2">
                  <c:v>математика</c:v>
                </c:pt>
                <c:pt idx="3">
                  <c:v>естествознание</c:v>
                </c:pt>
              </c:strCache>
            </c:strRef>
          </c:cat>
          <c:val>
            <c:numRef>
              <c:f>Лист1!$C$15:$F$15</c:f>
              <c:numCache>
                <c:formatCode>General</c:formatCode>
                <c:ptCount val="4"/>
                <c:pt idx="0">
                  <c:v>17.899999999999999</c:v>
                </c:pt>
                <c:pt idx="1">
                  <c:v>16.2</c:v>
                </c:pt>
                <c:pt idx="2">
                  <c:v>12.6</c:v>
                </c:pt>
                <c:pt idx="3">
                  <c:v>15.3</c:v>
                </c:pt>
              </c:numCache>
            </c:numRef>
          </c:val>
        </c:ser>
        <c:axId val="114817280"/>
        <c:axId val="114819072"/>
      </c:barChart>
      <c:catAx>
        <c:axId val="114817280"/>
        <c:scaling>
          <c:orientation val="minMax"/>
        </c:scaling>
        <c:axPos val="b"/>
        <c:tickLblPos val="nextTo"/>
        <c:crossAx val="114819072"/>
        <c:crosses val="autoZero"/>
        <c:auto val="1"/>
        <c:lblAlgn val="ctr"/>
        <c:lblOffset val="100"/>
      </c:catAx>
      <c:valAx>
        <c:axId val="114819072"/>
        <c:scaling>
          <c:orientation val="minMax"/>
        </c:scaling>
        <c:axPos val="l"/>
        <c:majorGridlines/>
        <c:numFmt formatCode="General" sourceLinked="1"/>
        <c:tickLblPos val="nextTo"/>
        <c:crossAx val="11481728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Лист1!$B$33:$B$34</c:f>
              <c:strCache>
                <c:ptCount val="1"/>
                <c:pt idx="0">
                  <c:v>Средний процент выполнения (ЕНГ)</c:v>
                </c:pt>
              </c:strCache>
            </c:strRef>
          </c:tx>
          <c:dPt>
            <c:idx val="23"/>
            <c:spPr>
              <a:solidFill>
                <a:schemeClr val="accent2"/>
              </a:solidFill>
            </c:spPr>
          </c:dPt>
          <c:dPt>
            <c:idx val="24"/>
            <c:spPr>
              <a:solidFill>
                <a:srgbClr val="00B050"/>
              </a:solidFill>
            </c:spPr>
          </c:dPt>
          <c:dLbls>
            <c:showVal val="1"/>
          </c:dLbls>
          <c:cat>
            <c:strRef>
              <c:f>Лист1!$A$35:$A$59</c:f>
              <c:strCache>
                <c:ptCount val="25"/>
                <c:pt idx="0">
                  <c:v>Ангарская</c:v>
                </c:pt>
                <c:pt idx="1">
                  <c:v>Артюгинская</c:v>
                </c:pt>
                <c:pt idx="2">
                  <c:v>Богучанская № 1</c:v>
                </c:pt>
                <c:pt idx="3">
                  <c:v>Богучанская № 2</c:v>
                </c:pt>
                <c:pt idx="4">
                  <c:v>Богучанская № 3</c:v>
                </c:pt>
                <c:pt idx="5">
                  <c:v>Богучанская № 4</c:v>
                </c:pt>
                <c:pt idx="6">
                  <c:v>Говорковская</c:v>
                </c:pt>
                <c:pt idx="7">
                  <c:v>Гремучинская</c:v>
                </c:pt>
                <c:pt idx="8">
                  <c:v>Кежекская</c:v>
                </c:pt>
                <c:pt idx="9">
                  <c:v>Красногорьевская</c:v>
                </c:pt>
                <c:pt idx="10">
                  <c:v>Манзенская</c:v>
                </c:pt>
                <c:pt idx="11">
                  <c:v>Невонская</c:v>
                </c:pt>
                <c:pt idx="12">
                  <c:v>Нижнетерянская</c:v>
                </c:pt>
                <c:pt idx="13">
                  <c:v>Новохайская</c:v>
                </c:pt>
                <c:pt idx="14">
                  <c:v>Октябрьская</c:v>
                </c:pt>
                <c:pt idx="15">
                  <c:v>Осиновская</c:v>
                </c:pt>
                <c:pt idx="16">
                  <c:v>Пинчугская</c:v>
                </c:pt>
                <c:pt idx="17">
                  <c:v>Таежнинская № 7</c:v>
                </c:pt>
                <c:pt idx="18">
                  <c:v>Таежнинская № 20</c:v>
                </c:pt>
                <c:pt idx="19">
                  <c:v>Такучетская</c:v>
                </c:pt>
                <c:pt idx="20">
                  <c:v>Хребтовская</c:v>
                </c:pt>
                <c:pt idx="21">
                  <c:v>Чуноярская</c:v>
                </c:pt>
                <c:pt idx="22">
                  <c:v>Шиверская</c:v>
                </c:pt>
                <c:pt idx="23">
                  <c:v>РАЙОН</c:v>
                </c:pt>
                <c:pt idx="24">
                  <c:v>РЕГИОН</c:v>
                </c:pt>
              </c:strCache>
            </c:strRef>
          </c:cat>
          <c:val>
            <c:numRef>
              <c:f>Лист1!$B$35:$B$59</c:f>
              <c:numCache>
                <c:formatCode>0</c:formatCode>
                <c:ptCount val="25"/>
                <c:pt idx="0">
                  <c:v>28.47</c:v>
                </c:pt>
                <c:pt idx="1">
                  <c:v>41.67</c:v>
                </c:pt>
                <c:pt idx="2">
                  <c:v>38.06</c:v>
                </c:pt>
                <c:pt idx="3">
                  <c:v>36.410000000000004</c:v>
                </c:pt>
                <c:pt idx="4">
                  <c:v>40.28</c:v>
                </c:pt>
                <c:pt idx="5">
                  <c:v>30.39</c:v>
                </c:pt>
                <c:pt idx="6">
                  <c:v>38.33</c:v>
                </c:pt>
                <c:pt idx="7">
                  <c:v>31.939999999999987</c:v>
                </c:pt>
                <c:pt idx="8">
                  <c:v>33.33</c:v>
                </c:pt>
                <c:pt idx="9">
                  <c:v>40.74</c:v>
                </c:pt>
                <c:pt idx="10">
                  <c:v>34.71</c:v>
                </c:pt>
                <c:pt idx="11">
                  <c:v>39.879999999999995</c:v>
                </c:pt>
                <c:pt idx="12">
                  <c:v>62.5</c:v>
                </c:pt>
                <c:pt idx="13">
                  <c:v>43.33</c:v>
                </c:pt>
                <c:pt idx="14">
                  <c:v>34.120000000000012</c:v>
                </c:pt>
                <c:pt idx="15">
                  <c:v>39.879999999999995</c:v>
                </c:pt>
                <c:pt idx="16">
                  <c:v>26.959999999999987</c:v>
                </c:pt>
                <c:pt idx="17">
                  <c:v>45.4</c:v>
                </c:pt>
                <c:pt idx="18">
                  <c:v>28.89</c:v>
                </c:pt>
                <c:pt idx="19">
                  <c:v>54.17</c:v>
                </c:pt>
                <c:pt idx="20">
                  <c:v>28.57</c:v>
                </c:pt>
                <c:pt idx="21">
                  <c:v>29.919999999999987</c:v>
                </c:pt>
                <c:pt idx="22">
                  <c:v>25.52</c:v>
                </c:pt>
                <c:pt idx="23">
                  <c:v>36</c:v>
                </c:pt>
                <c:pt idx="24">
                  <c:v>34.71</c:v>
                </c:pt>
              </c:numCache>
            </c:numRef>
          </c:val>
        </c:ser>
        <c:axId val="114848128"/>
        <c:axId val="114849664"/>
      </c:barChart>
      <c:catAx>
        <c:axId val="114848128"/>
        <c:scaling>
          <c:orientation val="minMax"/>
        </c:scaling>
        <c:axPos val="b"/>
        <c:tickLblPos val="nextTo"/>
        <c:crossAx val="114849664"/>
        <c:crosses val="autoZero"/>
        <c:auto val="1"/>
        <c:lblAlgn val="ctr"/>
        <c:lblOffset val="100"/>
      </c:catAx>
      <c:valAx>
        <c:axId val="114849664"/>
        <c:scaling>
          <c:orientation val="minMax"/>
        </c:scaling>
        <c:axPos val="l"/>
        <c:majorGridlines/>
        <c:numFmt formatCode="0" sourceLinked="1"/>
        <c:tickLblPos val="nextTo"/>
        <c:crossAx val="11484812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Лист1!$B$61:$B$62</c:f>
              <c:strCache>
                <c:ptCount val="1"/>
                <c:pt idx="0">
                  <c:v>Средний процент выполнения (МГ)</c:v>
                </c:pt>
              </c:strCache>
            </c:strRef>
          </c:tx>
          <c:dPt>
            <c:idx val="23"/>
            <c:spPr>
              <a:solidFill>
                <a:srgbClr val="C00000"/>
              </a:solidFill>
            </c:spPr>
          </c:dPt>
          <c:dPt>
            <c:idx val="24"/>
            <c:spPr>
              <a:solidFill>
                <a:srgbClr val="00B050"/>
              </a:solidFill>
            </c:spPr>
          </c:dPt>
          <c:dLbls>
            <c:showVal val="1"/>
          </c:dLbls>
          <c:cat>
            <c:strRef>
              <c:f>Лист1!$A$63:$A$87</c:f>
              <c:strCache>
                <c:ptCount val="25"/>
                <c:pt idx="0">
                  <c:v>Ангарская</c:v>
                </c:pt>
                <c:pt idx="1">
                  <c:v>Артюгинская</c:v>
                </c:pt>
                <c:pt idx="2">
                  <c:v>Богучанская № 1</c:v>
                </c:pt>
                <c:pt idx="3">
                  <c:v>Богучанская № 2</c:v>
                </c:pt>
                <c:pt idx="4">
                  <c:v>Богучанская № 3</c:v>
                </c:pt>
                <c:pt idx="5">
                  <c:v>Богучанская № 4</c:v>
                </c:pt>
                <c:pt idx="6">
                  <c:v>Говорковская</c:v>
                </c:pt>
                <c:pt idx="7">
                  <c:v>Гремучинская</c:v>
                </c:pt>
                <c:pt idx="8">
                  <c:v>Кежекская</c:v>
                </c:pt>
                <c:pt idx="9">
                  <c:v>Красногорьевская</c:v>
                </c:pt>
                <c:pt idx="10">
                  <c:v>Манзенская</c:v>
                </c:pt>
                <c:pt idx="11">
                  <c:v>Невонская</c:v>
                </c:pt>
                <c:pt idx="12">
                  <c:v>Нижнетерянская</c:v>
                </c:pt>
                <c:pt idx="13">
                  <c:v>Новохайская</c:v>
                </c:pt>
                <c:pt idx="14">
                  <c:v>Октябрьская</c:v>
                </c:pt>
                <c:pt idx="15">
                  <c:v>Осиновская</c:v>
                </c:pt>
                <c:pt idx="16">
                  <c:v>Пинчугская</c:v>
                </c:pt>
                <c:pt idx="17">
                  <c:v>Таежнинская № 7</c:v>
                </c:pt>
                <c:pt idx="18">
                  <c:v>Таежнинская № 20</c:v>
                </c:pt>
                <c:pt idx="19">
                  <c:v>Такучетская</c:v>
                </c:pt>
                <c:pt idx="20">
                  <c:v>Хребтовская</c:v>
                </c:pt>
                <c:pt idx="21">
                  <c:v>Чуноярская</c:v>
                </c:pt>
                <c:pt idx="22">
                  <c:v>Шиверская</c:v>
                </c:pt>
                <c:pt idx="23">
                  <c:v>РАЙОН</c:v>
                </c:pt>
                <c:pt idx="24">
                  <c:v>РЕГИОН</c:v>
                </c:pt>
              </c:strCache>
            </c:strRef>
          </c:cat>
          <c:val>
            <c:numRef>
              <c:f>Лист1!$B$63:$B$87</c:f>
              <c:numCache>
                <c:formatCode>0</c:formatCode>
                <c:ptCount val="25"/>
                <c:pt idx="0">
                  <c:v>11.96</c:v>
                </c:pt>
                <c:pt idx="1">
                  <c:v>33.700000000000003</c:v>
                </c:pt>
                <c:pt idx="2">
                  <c:v>33.01</c:v>
                </c:pt>
                <c:pt idx="3">
                  <c:v>19.939999999999987</c:v>
                </c:pt>
                <c:pt idx="4">
                  <c:v>27.97</c:v>
                </c:pt>
                <c:pt idx="5">
                  <c:v>18.16</c:v>
                </c:pt>
                <c:pt idx="6">
                  <c:v>20.87</c:v>
                </c:pt>
                <c:pt idx="7">
                  <c:v>17.25</c:v>
                </c:pt>
                <c:pt idx="8">
                  <c:v>15.219999999999999</c:v>
                </c:pt>
                <c:pt idx="9">
                  <c:v>31.64</c:v>
                </c:pt>
                <c:pt idx="10">
                  <c:v>20.36</c:v>
                </c:pt>
                <c:pt idx="11">
                  <c:v>39.130000000000003</c:v>
                </c:pt>
                <c:pt idx="12">
                  <c:v>13.04</c:v>
                </c:pt>
                <c:pt idx="13">
                  <c:v>28.7</c:v>
                </c:pt>
                <c:pt idx="14">
                  <c:v>17.93</c:v>
                </c:pt>
                <c:pt idx="15">
                  <c:v>24.53</c:v>
                </c:pt>
                <c:pt idx="16">
                  <c:v>16.37</c:v>
                </c:pt>
                <c:pt idx="17">
                  <c:v>21.5</c:v>
                </c:pt>
                <c:pt idx="18">
                  <c:v>18.41</c:v>
                </c:pt>
                <c:pt idx="19">
                  <c:v>41.3</c:v>
                </c:pt>
                <c:pt idx="20">
                  <c:v>8.07</c:v>
                </c:pt>
                <c:pt idx="21">
                  <c:v>16.21</c:v>
                </c:pt>
                <c:pt idx="22">
                  <c:v>14.129999999999999</c:v>
                </c:pt>
                <c:pt idx="23">
                  <c:v>21.650000000000031</c:v>
                </c:pt>
                <c:pt idx="24">
                  <c:v>20.36</c:v>
                </c:pt>
              </c:numCache>
            </c:numRef>
          </c:val>
        </c:ser>
        <c:axId val="114874624"/>
        <c:axId val="114880512"/>
      </c:barChart>
      <c:catAx>
        <c:axId val="114874624"/>
        <c:scaling>
          <c:orientation val="minMax"/>
        </c:scaling>
        <c:axPos val="b"/>
        <c:tickLblPos val="nextTo"/>
        <c:crossAx val="114880512"/>
        <c:crosses val="autoZero"/>
        <c:auto val="1"/>
        <c:lblAlgn val="ctr"/>
        <c:lblOffset val="100"/>
      </c:catAx>
      <c:valAx>
        <c:axId val="114880512"/>
        <c:scaling>
          <c:orientation val="minMax"/>
        </c:scaling>
        <c:axPos val="l"/>
        <c:majorGridlines/>
        <c:numFmt formatCode="0" sourceLinked="1"/>
        <c:tickLblPos val="nextTo"/>
        <c:crossAx val="11487462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Лист1!$B$88:$B$89</c:f>
              <c:strCache>
                <c:ptCount val="1"/>
                <c:pt idx="0">
                  <c:v>Средний процент выполнения (понимание текста)</c:v>
                </c:pt>
              </c:strCache>
            </c:strRef>
          </c:tx>
          <c:spPr>
            <a:solidFill>
              <a:srgbClr val="0070C0"/>
            </a:solidFill>
          </c:spPr>
          <c:dPt>
            <c:idx val="12"/>
            <c:spPr>
              <a:solidFill>
                <a:srgbClr val="C00000"/>
              </a:solidFill>
            </c:spPr>
          </c:dPt>
          <c:dPt>
            <c:idx val="14"/>
            <c:spPr>
              <a:solidFill>
                <a:srgbClr val="00B050"/>
              </a:solidFill>
            </c:spPr>
          </c:dPt>
          <c:dLbls>
            <c:showVal val="1"/>
          </c:dLbls>
          <c:cat>
            <c:strRef>
              <c:f>Лист1!$A$90:$A$114</c:f>
              <c:strCache>
                <c:ptCount val="25"/>
                <c:pt idx="0">
                  <c:v>Октябрьская</c:v>
                </c:pt>
                <c:pt idx="1">
                  <c:v>Артюгинская</c:v>
                </c:pt>
                <c:pt idx="2">
                  <c:v>Кежекская</c:v>
                </c:pt>
                <c:pt idx="3">
                  <c:v>Невонская</c:v>
                </c:pt>
                <c:pt idx="4">
                  <c:v>Нижнетерянская</c:v>
                </c:pt>
                <c:pt idx="5">
                  <c:v>Пинчугская</c:v>
                </c:pt>
                <c:pt idx="6">
                  <c:v>Новохайская</c:v>
                </c:pt>
                <c:pt idx="7">
                  <c:v>Шиверская</c:v>
                </c:pt>
                <c:pt idx="8">
                  <c:v>Красногорьевская</c:v>
                </c:pt>
                <c:pt idx="9">
                  <c:v>Хребтовская</c:v>
                </c:pt>
                <c:pt idx="10">
                  <c:v>Таежнинская № 7</c:v>
                </c:pt>
                <c:pt idx="11">
                  <c:v>Богучанская № 1</c:v>
                </c:pt>
                <c:pt idx="12">
                  <c:v>РАЙОН</c:v>
                </c:pt>
                <c:pt idx="13">
                  <c:v>Манзенская</c:v>
                </c:pt>
                <c:pt idx="14">
                  <c:v>РЕГИОН</c:v>
                </c:pt>
                <c:pt idx="15">
                  <c:v>Богучанская № 3</c:v>
                </c:pt>
                <c:pt idx="16">
                  <c:v>Осиновская</c:v>
                </c:pt>
                <c:pt idx="17">
                  <c:v>Такучетская</c:v>
                </c:pt>
                <c:pt idx="18">
                  <c:v>Богучанская № 4</c:v>
                </c:pt>
                <c:pt idx="19">
                  <c:v>Богучанская № 2</c:v>
                </c:pt>
                <c:pt idx="20">
                  <c:v>Таежнинская № 20</c:v>
                </c:pt>
                <c:pt idx="21">
                  <c:v>Гремучинская</c:v>
                </c:pt>
                <c:pt idx="22">
                  <c:v>Говорковская</c:v>
                </c:pt>
                <c:pt idx="23">
                  <c:v>Ангарская</c:v>
                </c:pt>
                <c:pt idx="24">
                  <c:v>Чуноярская</c:v>
                </c:pt>
              </c:strCache>
            </c:strRef>
          </c:cat>
          <c:val>
            <c:numRef>
              <c:f>Лист1!$B$90:$B$114</c:f>
              <c:numCache>
                <c:formatCode>0</c:formatCode>
                <c:ptCount val="25"/>
                <c:pt idx="0">
                  <c:v>75.010000000000005</c:v>
                </c:pt>
                <c:pt idx="1">
                  <c:v>75</c:v>
                </c:pt>
                <c:pt idx="2">
                  <c:v>75</c:v>
                </c:pt>
                <c:pt idx="3">
                  <c:v>75</c:v>
                </c:pt>
                <c:pt idx="4">
                  <c:v>75</c:v>
                </c:pt>
                <c:pt idx="5">
                  <c:v>73.53</c:v>
                </c:pt>
                <c:pt idx="6">
                  <c:v>70</c:v>
                </c:pt>
                <c:pt idx="7">
                  <c:v>68.75</c:v>
                </c:pt>
                <c:pt idx="8">
                  <c:v>66.669999999999987</c:v>
                </c:pt>
                <c:pt idx="9">
                  <c:v>64.290000000000006</c:v>
                </c:pt>
                <c:pt idx="10">
                  <c:v>62</c:v>
                </c:pt>
                <c:pt idx="11">
                  <c:v>55.4</c:v>
                </c:pt>
                <c:pt idx="12">
                  <c:v>54.27</c:v>
                </c:pt>
                <c:pt idx="13">
                  <c:v>51.68</c:v>
                </c:pt>
                <c:pt idx="14">
                  <c:v>51.68</c:v>
                </c:pt>
                <c:pt idx="15">
                  <c:v>51.660000000000011</c:v>
                </c:pt>
                <c:pt idx="16">
                  <c:v>50</c:v>
                </c:pt>
                <c:pt idx="17">
                  <c:v>50</c:v>
                </c:pt>
                <c:pt idx="18">
                  <c:v>44.120000000000012</c:v>
                </c:pt>
                <c:pt idx="19">
                  <c:v>44.05</c:v>
                </c:pt>
                <c:pt idx="20">
                  <c:v>43.339999999999996</c:v>
                </c:pt>
                <c:pt idx="21">
                  <c:v>41.67</c:v>
                </c:pt>
                <c:pt idx="22">
                  <c:v>30</c:v>
                </c:pt>
                <c:pt idx="23">
                  <c:v>29.17</c:v>
                </c:pt>
                <c:pt idx="24">
                  <c:v>27.27</c:v>
                </c:pt>
              </c:numCache>
            </c:numRef>
          </c:val>
        </c:ser>
        <c:axId val="115036544"/>
        <c:axId val="115038080"/>
      </c:barChart>
      <c:catAx>
        <c:axId val="115036544"/>
        <c:scaling>
          <c:orientation val="minMax"/>
        </c:scaling>
        <c:axPos val="b"/>
        <c:tickLblPos val="nextTo"/>
        <c:crossAx val="115038080"/>
        <c:crosses val="autoZero"/>
        <c:auto val="1"/>
        <c:lblAlgn val="ctr"/>
        <c:lblOffset val="100"/>
      </c:catAx>
      <c:valAx>
        <c:axId val="115038080"/>
        <c:scaling>
          <c:orientation val="minMax"/>
        </c:scaling>
        <c:axPos val="l"/>
        <c:majorGridlines/>
        <c:numFmt formatCode="0" sourceLinked="1"/>
        <c:tickLblPos val="nextTo"/>
        <c:crossAx val="11503654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Лист1!$A$236</c:f>
              <c:strCache>
                <c:ptCount val="1"/>
                <c:pt idx="0">
                  <c:v>2021-22</c:v>
                </c:pt>
              </c:strCache>
            </c:strRef>
          </c:tx>
          <c:dLbls>
            <c:showVal val="1"/>
          </c:dLbls>
          <c:cat>
            <c:strRef>
              <c:f>Лист1!$B$235:$D$235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</c:strCache>
            </c:strRef>
          </c:cat>
          <c:val>
            <c:numRef>
              <c:f>Лист1!$B$236:$D$236</c:f>
              <c:numCache>
                <c:formatCode>0</c:formatCode>
                <c:ptCount val="3"/>
                <c:pt idx="0">
                  <c:v>46</c:v>
                </c:pt>
                <c:pt idx="1">
                  <c:v>39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Лист1!$A$237</c:f>
              <c:strCache>
                <c:ptCount val="1"/>
                <c:pt idx="0">
                  <c:v>2022-23</c:v>
                </c:pt>
              </c:strCache>
            </c:strRef>
          </c:tx>
          <c:dLbls>
            <c:showVal val="1"/>
          </c:dLbls>
          <c:cat>
            <c:strRef>
              <c:f>Лист1!$B$235:$D$235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</c:strCache>
            </c:strRef>
          </c:cat>
          <c:val>
            <c:numRef>
              <c:f>Лист1!$B$237:$D$237</c:f>
              <c:numCache>
                <c:formatCode>0</c:formatCode>
                <c:ptCount val="3"/>
                <c:pt idx="0">
                  <c:v>46.92</c:v>
                </c:pt>
                <c:pt idx="1">
                  <c:v>35.07</c:v>
                </c:pt>
                <c:pt idx="2">
                  <c:v>18.010000000000005</c:v>
                </c:pt>
              </c:numCache>
            </c:numRef>
          </c:val>
        </c:ser>
        <c:axId val="117451392"/>
        <c:axId val="117498240"/>
      </c:barChart>
      <c:catAx>
        <c:axId val="117451392"/>
        <c:scaling>
          <c:orientation val="minMax"/>
        </c:scaling>
        <c:axPos val="b"/>
        <c:tickLblPos val="nextTo"/>
        <c:crossAx val="117498240"/>
        <c:crosses val="autoZero"/>
        <c:auto val="1"/>
        <c:lblAlgn val="ctr"/>
        <c:lblOffset val="100"/>
      </c:catAx>
      <c:valAx>
        <c:axId val="117498240"/>
        <c:scaling>
          <c:orientation val="minMax"/>
        </c:scaling>
        <c:axPos val="l"/>
        <c:majorGridlines/>
        <c:numFmt formatCode="0" sourceLinked="1"/>
        <c:tickLblPos val="nextTo"/>
        <c:crossAx val="117451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1880</Words>
  <Characters>10718</Characters>
  <Application>Microsoft Office Word</Application>
  <DocSecurity>0</DocSecurity>
  <Lines>89</Lines>
  <Paragraphs>25</Paragraphs>
  <ScaleCrop>false</ScaleCrop>
  <Company>УО администрации Богучанского района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2</cp:revision>
  <dcterms:created xsi:type="dcterms:W3CDTF">2023-06-29T08:23:00Z</dcterms:created>
  <dcterms:modified xsi:type="dcterms:W3CDTF">2023-06-29T08:40:00Z</dcterms:modified>
</cp:coreProperties>
</file>